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崇信县工业集中区管理委员会</w:t>
      </w:r>
    </w:p>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2021年部门预算公开说明</w:t>
      </w:r>
    </w:p>
    <w:p>
      <w:pPr>
        <w:tabs>
          <w:tab w:val="left" w:pos="578"/>
        </w:tabs>
        <w:rPr>
          <w:rFonts w:hint="eastAsia" w:ascii="仿宋_GB2312" w:hAnsi="仿宋_GB2312" w:eastAsia="仿宋_GB2312" w:cs="仿宋_GB2312"/>
          <w:sz w:val="32"/>
          <w:szCs w:val="32"/>
          <w:lang w:eastAsia="zh-CN"/>
        </w:rPr>
      </w:pPr>
    </w:p>
    <w:bookmarkEnd w:id="0"/>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贯彻落实县委、县政府的重要决策和工作部署;负责编制集中区总体规划，制定并落实各项优惠政策及管理办法。</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贯彻执行各级政府的招商引资政策;制定落实集中区招商引资、对外宣传、推介和形象策划的总体方案及年度工作计划。</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负责招商引资的投资咨询、项目筛选、调研论证、储备、洽谈、会审工作，负责审核报批入驻集中区的投资项目.</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负责为辖区内企业提供信息服务、创业指导，发展电子商务，负责建立企业投融资、担保体系，帮助企业开展人才引进和交流工作，会同人社部门为企业用工提供保障。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负责编制并组织实施集中区总体规划和控制性详规，协调制定集中区内各厂矿企业发展规划，负责做好入驻企业选址工作。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指导企业进行技术创新、资源综合利用、技术交流，组织企业参加各类经贸洽谈活动。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负责建立完善企业档案和资料，定期完成企业各项经济指标的统计和报表工作。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负责集中区内建筑工程初步审查，协调管理集中区内建筑市场，负责集中区基础设施建设管理工作。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负责协调市场监管、税务等部门，为集中区内各企业生产经营提供服务。</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开展集中区内各企业的环境保护、安全生产、项目建设等事宜的协调、监督和指导工作。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完成县委、县政府交办的其他工作。</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10" w:lef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能转变。将县集中区所辖的铜城、马沟、庙台、杜家塬、赵湾等5个村的村级管理、农业农村工作和社会管理职能划入锦屏镇。将新窑、赤城2个社区的管理职能划入新窑镇。强化县集中区管委会的招商引资、工业发展和经济管理职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县工业集中区</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内设</w:t>
      </w:r>
      <w:r>
        <w:rPr>
          <w:rFonts w:hint="eastAsia" w:ascii="仿宋_GB2312" w:hAnsi="仿宋_GB2312" w:eastAsia="仿宋_GB2312" w:cs="仿宋_GB2312"/>
          <w:sz w:val="32"/>
          <w:szCs w:val="32"/>
        </w:rPr>
        <w:t>机构</w:t>
      </w:r>
      <w:r>
        <w:rPr>
          <w:rFonts w:hint="eastAsia" w:ascii="仿宋_GB2312" w:hAnsi="仿宋_GB2312" w:eastAsia="仿宋_GB2312" w:cs="仿宋_GB2312"/>
          <w:i w:val="0"/>
          <w:iCs w:val="0"/>
          <w:caps w:val="0"/>
          <w:color w:val="333333"/>
          <w:spacing w:val="0"/>
          <w:sz w:val="32"/>
          <w:szCs w:val="32"/>
          <w:shd w:val="clear" w:fill="FFFFFF"/>
        </w:rPr>
        <w:t>，具体为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lang w:val="en-US" w:eastAsia="zh-CN"/>
        </w:rPr>
        <w:t>综合办公室、招商服务科、规划建设科、企业管理科。</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参照公务员法管理单位</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2个下属事业单位：</w:t>
      </w:r>
      <w:r>
        <w:rPr>
          <w:rFonts w:hint="eastAsia" w:ascii="仿宋_GB2312" w:hAnsi="仿宋_GB2312" w:eastAsia="仿宋_GB2312" w:cs="仿宋_GB2312"/>
          <w:sz w:val="32"/>
          <w:szCs w:val="32"/>
        </w:rPr>
        <w:t>铜城能源循环经济产业园服务中心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新窑煤炭深加工产业园服务中心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478.99</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100.17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增加26.4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：今年项目支出增加。</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478.99</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100.17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增加26.4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：今年增加了项目支出。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val="en-US" w:eastAsia="zh-CN"/>
        </w:rPr>
        <w:t>478.99</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32"/>
          <w:szCs w:val="32"/>
          <w:lang w:val="en-US" w:eastAsia="zh-CN"/>
        </w:rPr>
        <w:t>比2020年预算增加100.17元，</w:t>
      </w:r>
      <w:r>
        <w:rPr>
          <w:rFonts w:hint="eastAsia" w:ascii="仿宋_GB2312" w:hAnsi="仿宋_GB2312" w:eastAsia="仿宋_GB2312" w:cs="仿宋_GB2312"/>
          <w:sz w:val="32"/>
          <w:szCs w:val="32"/>
          <w:lang w:val="en-US" w:eastAsia="zh-CN"/>
        </w:rPr>
        <w:t>增加26.4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：今年增加了项目支出。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478.99</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278.99</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99.83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，部分业务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2021年一般公共预算拨款项目支出预算</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工业集中区污水处理厂运营及维修费</w:t>
      </w:r>
      <w:r>
        <w:rPr>
          <w:rFonts w:hint="eastAsia" w:ascii="仿宋_GB2312" w:hAnsi="仿宋_GB2312" w:eastAsia="仿宋_GB2312" w:cs="仿宋_GB2312"/>
          <w:b w:val="0"/>
          <w:bCs w:val="0"/>
          <w:i w:val="0"/>
          <w:iCs w:val="0"/>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0.2万元，减少7.6%</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rPr>
        <w:t>万元，比2020年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增加的主要原因是：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，部分业务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2021年政府性基金预算安排支出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2021年非税收入征收计划为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其中采购货物为：电脑、打印机、沙发、茶几、桌子、椅子、档案柜。</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固定资产配置情况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上年末固定资产金额为116.99万元。其中:办公用房1331.69平方米。公务用车一辆，价值13万元。</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重点项目情况</w:t>
      </w:r>
    </w:p>
    <w:p>
      <w:pPr>
        <w:numPr>
          <w:ilvl w:val="0"/>
          <w:numId w:val="0"/>
        </w:numP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污</w:t>
      </w:r>
      <w:r>
        <w:rPr>
          <w:rFonts w:hint="eastAsia" w:ascii="仿宋_GB2312" w:hAnsi="仿宋_GB2312" w:eastAsia="仿宋_GB2312" w:cs="仿宋_GB2312"/>
          <w:b w:val="0"/>
          <w:bCs w:val="0"/>
          <w:i w:val="0"/>
          <w:iCs w:val="0"/>
          <w:sz w:val="32"/>
          <w:szCs w:val="32"/>
          <w:lang w:val="en-US" w:eastAsia="zh-CN"/>
        </w:rPr>
        <w:t>水处理厂2021年维修及运营费用200万元，主要用于人员工资、药剂费用、水电费、设备维修维护费。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554E0"/>
    <w:multiLevelType w:val="singleLevel"/>
    <w:tmpl w:val="EF9554E0"/>
    <w:lvl w:ilvl="0" w:tentative="0">
      <w:start w:val="2"/>
      <w:numFmt w:val="chineseCounting"/>
      <w:suff w:val="nothing"/>
      <w:lvlText w:val="（%1）"/>
      <w:lvlJc w:val="left"/>
      <w:rPr>
        <w:rFonts w:hint="eastAsia"/>
      </w:rPr>
    </w:lvl>
  </w:abstractNum>
  <w:abstractNum w:abstractNumId="1">
    <w:nsid w:val="3CEDB755"/>
    <w:multiLevelType w:val="singleLevel"/>
    <w:tmpl w:val="3CEDB755"/>
    <w:lvl w:ilvl="0" w:tentative="0">
      <w:start w:val="4"/>
      <w:numFmt w:val="chineseCounting"/>
      <w:suff w:val="nothing"/>
      <w:lvlText w:val="（%1）"/>
      <w:lvlJc w:val="left"/>
      <w:rPr>
        <w:rFonts w:hint="eastAsia"/>
      </w:rPr>
    </w:lvl>
  </w:abstractNum>
  <w:abstractNum w:abstractNumId="2">
    <w:nsid w:val="4E2DEAE2"/>
    <w:multiLevelType w:val="singleLevel"/>
    <w:tmpl w:val="4E2DEAE2"/>
    <w:lvl w:ilvl="0" w:tentative="0">
      <w:start w:val="1"/>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06617964"/>
    <w:rsid w:val="10911862"/>
    <w:rsid w:val="15E015F2"/>
    <w:rsid w:val="19454732"/>
    <w:rsid w:val="2ABB2F63"/>
    <w:rsid w:val="333745CA"/>
    <w:rsid w:val="38EB286B"/>
    <w:rsid w:val="39B1336F"/>
    <w:rsid w:val="4C6E7D3D"/>
    <w:rsid w:val="4D6D4625"/>
    <w:rsid w:val="54E8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Administrator</cp:lastModifiedBy>
  <dcterms:modified xsi:type="dcterms:W3CDTF">2022-02-11T09:46:28Z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076D4D6AE36547CCB3BC4448BA16FE31</vt:lpwstr>
  </property>
</Properties>
</file>