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崇信县锦屏镇财政所单位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按照《预算法》、《地方预决算公开操作规程》、《中共甘肃省委办公厅 甘肃省人民政府办公厅关于进一步推进预算公开工作的实施方案》，现将2020年部门预算公开如下：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部门职责</w:t>
      </w:r>
    </w:p>
    <w:p>
      <w:pPr>
        <w:pStyle w:val="3"/>
        <w:spacing w:before="0" w:beforeAutospacing="0" w:after="0" w:afterAutospacing="0" w:line="360" w:lineRule="atLeast"/>
        <w:ind w:firstLine="645"/>
        <w:rPr>
          <w:rFonts w:hint="eastAsia" w:ascii="仿宋_GB2312" w:hAnsi="微软雅黑" w:eastAsia="仿宋_GB2312"/>
          <w:color w:val="2B2B2B"/>
          <w:sz w:val="32"/>
          <w:szCs w:val="32"/>
        </w:rPr>
      </w:pPr>
      <w:r>
        <w:rPr>
          <w:rFonts w:hint="eastAsia" w:ascii="仿宋_GB2312" w:hAnsi="微软雅黑" w:eastAsia="仿宋_GB2312"/>
          <w:color w:val="2B2B2B"/>
          <w:sz w:val="32"/>
          <w:szCs w:val="32"/>
        </w:rPr>
        <w:t>（一）负责全镇财政政策的贯彻落实。</w:t>
      </w:r>
    </w:p>
    <w:p>
      <w:pPr>
        <w:pStyle w:val="3"/>
        <w:spacing w:before="0" w:beforeAutospacing="0" w:after="0" w:afterAutospacing="0" w:line="360" w:lineRule="atLeast"/>
        <w:ind w:firstLine="645"/>
        <w:rPr>
          <w:rFonts w:hint="eastAsia" w:ascii="仿宋_GB2312" w:hAnsi="微软雅黑" w:eastAsia="仿宋_GB2312"/>
          <w:color w:val="2B2B2B"/>
          <w:sz w:val="32"/>
          <w:szCs w:val="32"/>
        </w:rPr>
      </w:pPr>
      <w:r>
        <w:rPr>
          <w:rFonts w:hint="eastAsia" w:ascii="仿宋_GB2312" w:hAnsi="微软雅黑" w:eastAsia="仿宋_GB2312"/>
          <w:color w:val="2B2B2B"/>
          <w:sz w:val="32"/>
          <w:szCs w:val="32"/>
        </w:rPr>
        <w:t>（二）负责编报财政收支预决算。</w:t>
      </w:r>
    </w:p>
    <w:p>
      <w:pPr>
        <w:pStyle w:val="3"/>
        <w:spacing w:before="0" w:beforeAutospacing="0" w:after="0" w:afterAutospacing="0" w:line="360" w:lineRule="atLeast"/>
        <w:ind w:firstLine="645"/>
        <w:rPr>
          <w:rFonts w:hint="eastAsia" w:ascii="仿宋_GB2312" w:hAnsi="微软雅黑" w:eastAsia="仿宋_GB2312"/>
          <w:color w:val="2B2B2B"/>
          <w:sz w:val="32"/>
          <w:szCs w:val="32"/>
        </w:rPr>
      </w:pPr>
      <w:r>
        <w:rPr>
          <w:rFonts w:hint="eastAsia" w:ascii="仿宋_GB2312" w:hAnsi="微软雅黑" w:eastAsia="仿宋_GB2312"/>
          <w:color w:val="2B2B2B"/>
          <w:sz w:val="32"/>
          <w:szCs w:val="32"/>
        </w:rPr>
        <w:t>（三）负责指导监管预算单位的会计核算工作。</w:t>
      </w:r>
    </w:p>
    <w:p>
      <w:pPr>
        <w:pStyle w:val="3"/>
        <w:spacing w:before="0" w:beforeAutospacing="0" w:after="0" w:afterAutospacing="0" w:line="360" w:lineRule="atLeast"/>
        <w:ind w:firstLine="645"/>
        <w:rPr>
          <w:rFonts w:hint="eastAsia" w:ascii="仿宋_GB2312" w:hAnsi="微软雅黑" w:eastAsia="仿宋_GB2312"/>
          <w:color w:val="2B2B2B"/>
          <w:sz w:val="32"/>
          <w:szCs w:val="32"/>
        </w:rPr>
      </w:pPr>
      <w:r>
        <w:rPr>
          <w:rFonts w:hint="eastAsia" w:ascii="仿宋_GB2312" w:hAnsi="微软雅黑" w:eastAsia="仿宋_GB2312"/>
          <w:color w:val="2B2B2B"/>
          <w:sz w:val="32"/>
          <w:szCs w:val="32"/>
        </w:rPr>
        <w:t>（四）负责发放惠农补贴资金。</w:t>
      </w:r>
    </w:p>
    <w:p>
      <w:pPr>
        <w:pStyle w:val="3"/>
        <w:spacing w:before="0" w:beforeAutospacing="0" w:after="0" w:afterAutospacing="0" w:line="360" w:lineRule="atLeast"/>
        <w:ind w:firstLine="645"/>
        <w:rPr>
          <w:rFonts w:hint="eastAsia" w:ascii="仿宋_GB2312" w:hAnsi="微软雅黑" w:eastAsia="仿宋_GB2312"/>
          <w:color w:val="2B2B2B"/>
          <w:sz w:val="32"/>
          <w:szCs w:val="32"/>
        </w:rPr>
      </w:pPr>
      <w:r>
        <w:rPr>
          <w:rFonts w:hint="eastAsia" w:ascii="仿宋_GB2312" w:hAnsi="微软雅黑" w:eastAsia="仿宋_GB2312"/>
          <w:color w:val="2B2B2B"/>
          <w:sz w:val="32"/>
          <w:szCs w:val="32"/>
        </w:rPr>
        <w:t>（五）负责管理国有资产、非税收入和财政票据。</w:t>
      </w:r>
    </w:p>
    <w:p>
      <w:pPr>
        <w:pStyle w:val="3"/>
        <w:spacing w:before="0" w:beforeAutospacing="0" w:after="0" w:afterAutospacing="0" w:line="360" w:lineRule="atLeast"/>
        <w:ind w:firstLine="645"/>
        <w:rPr>
          <w:rFonts w:hint="eastAsia" w:ascii="仿宋_GB2312" w:hAnsi="微软雅黑" w:eastAsia="仿宋_GB2312"/>
          <w:color w:val="2B2B2B"/>
          <w:sz w:val="32"/>
          <w:szCs w:val="32"/>
        </w:rPr>
      </w:pPr>
      <w:r>
        <w:rPr>
          <w:rFonts w:hint="eastAsia" w:ascii="仿宋_GB2312" w:hAnsi="微软雅黑" w:eastAsia="仿宋_GB2312"/>
          <w:color w:val="2B2B2B"/>
          <w:sz w:val="32"/>
          <w:szCs w:val="32"/>
        </w:rPr>
        <w:t>（六）负责配合乡镇开展农村综合改革工作。</w:t>
      </w:r>
    </w:p>
    <w:p>
      <w:pPr>
        <w:pStyle w:val="3"/>
        <w:spacing w:before="0" w:beforeAutospacing="0" w:after="0" w:afterAutospacing="0" w:line="360" w:lineRule="atLeast"/>
        <w:ind w:firstLine="645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微软雅黑" w:eastAsia="仿宋_GB2312"/>
          <w:color w:val="2B2B2B"/>
          <w:sz w:val="32"/>
          <w:szCs w:val="32"/>
        </w:rPr>
        <w:t>（七）办理县财政局安排的其他工作。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二、部门机构设置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本单位属事业单位，执行事业会计制度，核算机构数1个，编制人数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人，实有人数为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人，其中：在职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，借调3人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三支生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1人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三、部门收支总体情况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按照预算管理有关规定，20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年部门收支包括机关预算和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下属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单位预算在内的汇总情况。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 收入预算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76.3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万元，其中：一般公共预算财政拨款收入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76.3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19.9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35.35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机构改革，合并单位，人员增加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2020年支出预算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76.3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万元，其中：当一般公共预算财政拨款基本支出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76.3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19.9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35.35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%。主要原因是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机构改革，合并单位，人员增加。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具体为：一般公共服务支出76.3万元，比2019年预算增加199000元，增长35.35%，主要原因是机构改革，合并单位，人员增加。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四、 一般公共预算情况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2020年一般公共预算支出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76.3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万元，具体安排情况如下：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2020年预算基本支出为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76.3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增加19.9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增长35.35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%，下降的主要原因是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机构改革，合并单位，人员增加。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0" w:firstLineChars="3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>无此类情况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五、 部门“三公”经费、培训费、会议费等财政拨款情况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（二）公务接待费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无此类情况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公务用车购置及运行维护费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720" w:firstLineChars="300"/>
        <w:rPr>
          <w:rFonts w:hint="eastAsia" w:ascii="仿宋_GB2312" w:hAnsi="仿宋_GB2312" w:eastAsia="宋体" w:cs="仿宋_GB2312"/>
          <w:sz w:val="32"/>
          <w:szCs w:val="32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无此类情况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培训费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 w:firstLine="321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无此类情况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会议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 xml:space="preserve">费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 w:firstLine="321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无此类情况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（六）一般公共预算机关运行经费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76.3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万元，比2019年预算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增加19.9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增长35.35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%，主要原因是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机构改革，合并单位，人员增加。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六、 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default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国有资产占用情况：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上年末固定资产金额为277.1万元。其中:办公用房64平方米，价值20.24万元。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七、 预算绩效管理情况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0" w:firstLineChars="3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无此类情况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八、名词解释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财政拨款：指财政当年拨付的资金。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经济分类：按支出的经济性质和具体用途所作的一种分类。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工资福利支出：反映单位开支的在职职工和编制外长期聘用人员的各类劳动报酬，以及为上述人员缴纳的各项社会保险费等。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商品和服务支出：反映单位购买商品和服务的支出，不包括用于购置固定资产的支出、战略性和应急储备支出。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对个人和家庭的补助：反映政府用于对个人和家庭的补助支出。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基本支出：反映单位为保障机构正常运转和完成日常工作任务发生的支出，包括人员支出和公用支出。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项目支出：反映单位为完成特定的工作任务，在基本支出之外发生的支出。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奖金：反映按规定发放的奖金，包括机关工作人员年终一次性奖金等。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绩效工资：反映事业单位工作人员的绩效工资。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维修（护）费：反映单位日常开支的固定资产（不包括车船等交通工具）修理和维护费用，网络信息系统运行与维护费用，以及按规定提取的修购基金。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会议费：反映单位在会议期间按规定开支的住宿费、伙食费、会议室租金、交通费、文件印刷费、医药费等。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培训费：反映除因公出国（境）培训费以外的，在培训期间发生的师资费、住宿费、伙食费、培训场地费、培训资料费、交通费等各类培训支出。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因公出国（境）费：反映单位公务出国（境）的国际旅费、国外城市间交通费、住宿费、伙食费、培训费、公杂费等支出。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公务接待费：反映单位按规定开支的各类公务接待（含外宾接待）费用。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公务用车：指用于履行公务的机动车辆，包括省部级干部专车、一般公务用车和执勤执法用车。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公务用车购置费：反映公务用车车辆购置支出（含车辆购置税）。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公务用车运行维护费：反映单位按规定保留的公务用车租用费、燃料费、维修费、过路过桥费、保险费、安全奖励费用等支出。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其他交通费用：反映单位除公务用车运行维护费以外的其他交通费用。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附件：20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年部门预算公开表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- 3 -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89DF0"/>
    <w:multiLevelType w:val="singleLevel"/>
    <w:tmpl w:val="64C89DF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47775"/>
    <w:rsid w:val="01E626CD"/>
    <w:rsid w:val="02FE7705"/>
    <w:rsid w:val="048A605A"/>
    <w:rsid w:val="051F74F3"/>
    <w:rsid w:val="05986237"/>
    <w:rsid w:val="095155FE"/>
    <w:rsid w:val="099A1CA6"/>
    <w:rsid w:val="0C973093"/>
    <w:rsid w:val="0CBB5F95"/>
    <w:rsid w:val="11B61B59"/>
    <w:rsid w:val="129F4F52"/>
    <w:rsid w:val="13870363"/>
    <w:rsid w:val="14B648CB"/>
    <w:rsid w:val="168C7DFC"/>
    <w:rsid w:val="18F51C45"/>
    <w:rsid w:val="1B5017E9"/>
    <w:rsid w:val="1C5F555A"/>
    <w:rsid w:val="1CD57B0E"/>
    <w:rsid w:val="1D1A03AD"/>
    <w:rsid w:val="21314266"/>
    <w:rsid w:val="21552D8F"/>
    <w:rsid w:val="218E69A0"/>
    <w:rsid w:val="22AF0D76"/>
    <w:rsid w:val="23BC1740"/>
    <w:rsid w:val="2C300910"/>
    <w:rsid w:val="2C526B23"/>
    <w:rsid w:val="2E7306F4"/>
    <w:rsid w:val="30A51BC6"/>
    <w:rsid w:val="31755778"/>
    <w:rsid w:val="34EA3E19"/>
    <w:rsid w:val="383B2F01"/>
    <w:rsid w:val="3BA66A5E"/>
    <w:rsid w:val="3BB26158"/>
    <w:rsid w:val="3C365E20"/>
    <w:rsid w:val="3C695ECC"/>
    <w:rsid w:val="3F547775"/>
    <w:rsid w:val="410B2425"/>
    <w:rsid w:val="41840228"/>
    <w:rsid w:val="41DE0DBC"/>
    <w:rsid w:val="46A96C39"/>
    <w:rsid w:val="47DA031E"/>
    <w:rsid w:val="4A0F0C7C"/>
    <w:rsid w:val="4B4E0F10"/>
    <w:rsid w:val="4DC3372C"/>
    <w:rsid w:val="50C03E6B"/>
    <w:rsid w:val="50F54ACF"/>
    <w:rsid w:val="530149AE"/>
    <w:rsid w:val="54D2521F"/>
    <w:rsid w:val="55A4434B"/>
    <w:rsid w:val="5C3F395E"/>
    <w:rsid w:val="5E380040"/>
    <w:rsid w:val="664B769B"/>
    <w:rsid w:val="6C7B0A05"/>
    <w:rsid w:val="6CE65DCE"/>
    <w:rsid w:val="6D092738"/>
    <w:rsid w:val="6D8F3043"/>
    <w:rsid w:val="6E1E6293"/>
    <w:rsid w:val="6E973A9C"/>
    <w:rsid w:val="6EC22C68"/>
    <w:rsid w:val="6F3E7D68"/>
    <w:rsid w:val="704769B6"/>
    <w:rsid w:val="713820B0"/>
    <w:rsid w:val="73562C85"/>
    <w:rsid w:val="75714017"/>
    <w:rsid w:val="79A52F0F"/>
    <w:rsid w:val="7A231F91"/>
    <w:rsid w:val="7E2A6046"/>
    <w:rsid w:val="7E9B0878"/>
    <w:rsid w:val="7F3F79F4"/>
    <w:rsid w:val="7FE83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3D3D3D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2018-03-20T09:37:00Z</dcterms:created>
  <dc:creator>Administrator</dc:creator>
  <cp:lastModifiedBy>lenovo</cp:lastModifiedBy>
  <dcterms:modified xsi:type="dcterms:W3CDTF">2020-05-15T08:02:47Z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