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崇信县新窑镇财政所2018年部门预算公开说明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崇信县新窑镇财政所单位主要职责：负责本镇财政财务政策的贯彻落实；负责编报财政收支预（决）算；负责指导监管预算单位的会计核算工作；负责发放惠农补贴资金；负责管理国有资产、非税收入和财政票据；负责配合本镇开展农村综合改革工作；办理县财政局安排的其他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本单位属事业单位，执行事业单位会计制度，财政预算代码为：</w:t>
      </w:r>
      <w:r>
        <w:rPr>
          <w:rFonts w:ascii="仿宋_GB2312" w:hAnsi="仿宋_GB2312" w:eastAsia="仿宋_GB2312" w:cs="仿宋_GB2312"/>
          <w:sz w:val="32"/>
          <w:szCs w:val="32"/>
        </w:rPr>
        <w:t>068004</w:t>
      </w:r>
      <w:r>
        <w:rPr>
          <w:rFonts w:hint="eastAsia" w:ascii="仿宋_GB2312" w:hAnsi="仿宋_GB2312" w:eastAsia="仿宋_GB2312" w:cs="仿宋_GB2312"/>
          <w:sz w:val="32"/>
          <w:szCs w:val="32"/>
        </w:rPr>
        <w:t>。独立核算机构数为</w:t>
      </w:r>
      <w:r>
        <w:rPr>
          <w:rFonts w:ascii="仿宋_GB2312" w:hAnsi="仿宋_GB2312" w:eastAsia="仿宋_GB2312" w:cs="仿宋_GB2312"/>
          <w:sz w:val="32"/>
          <w:szCs w:val="32"/>
        </w:rPr>
        <w:t xml:space="preserve"> 1 </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rPr>
        <w:t>2018年一般公共预算财政拨款收入</w:t>
      </w:r>
      <w:r>
        <w:rPr>
          <w:rFonts w:hint="eastAsia" w:ascii="仿宋_GB2312" w:hAnsi="仿宋_GB2312" w:eastAsia="仿宋_GB2312" w:cs="仿宋_GB2312"/>
          <w:b w:val="0"/>
          <w:bCs w:val="0"/>
          <w:i w:val="0"/>
          <w:iCs w:val="0"/>
          <w:sz w:val="28"/>
          <w:szCs w:val="28"/>
          <w:lang w:val="en-US" w:eastAsia="zh-CN"/>
        </w:rPr>
        <w:t>24.58</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sz w:val="32"/>
          <w:szCs w:val="32"/>
        </w:rPr>
        <w:t>其中：一般公共预算财政拨款收入</w:t>
      </w:r>
      <w:r>
        <w:rPr>
          <w:rFonts w:hint="eastAsia" w:ascii="仿宋_GB2312" w:hAnsi="仿宋_GB2312" w:eastAsia="仿宋_GB2312" w:cs="仿宋_GB2312"/>
          <w:sz w:val="32"/>
          <w:szCs w:val="32"/>
          <w:lang w:val="en-US" w:eastAsia="zh-CN"/>
        </w:rPr>
        <w:t>24.58</w:t>
      </w:r>
      <w:r>
        <w:rPr>
          <w:rFonts w:hint="eastAsia" w:ascii="仿宋_GB2312" w:hAnsi="仿宋_GB2312" w:eastAsia="仿宋_GB2312" w:cs="仿宋_GB2312"/>
          <w:sz w:val="32"/>
          <w:szCs w:val="32"/>
        </w:rPr>
        <w:t>万元，上年无结转。</w:t>
      </w:r>
      <w:r>
        <w:rPr>
          <w:rFonts w:hint="eastAsia" w:ascii="仿宋_GB2312" w:hAnsi="仿宋_GB2312" w:eastAsia="仿宋_GB2312" w:cs="仿宋_GB2312"/>
          <w:b w:val="0"/>
          <w:bCs w:val="0"/>
          <w:i w:val="0"/>
          <w:iCs w:val="0"/>
          <w:sz w:val="28"/>
          <w:szCs w:val="28"/>
        </w:rPr>
        <w:t>比2017年预算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2.62</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11.9</w:t>
      </w:r>
      <w:r>
        <w:rPr>
          <w:rFonts w:hint="eastAsia" w:ascii="仿宋_GB2312" w:hAnsi="仿宋_GB2312" w:eastAsia="仿宋_GB2312" w:cs="仿宋_GB2312"/>
          <w:b w:val="0"/>
          <w:bCs w:val="0"/>
          <w:i w:val="0"/>
          <w:iCs w:val="0"/>
          <w:sz w:val="28"/>
          <w:szCs w:val="28"/>
        </w:rPr>
        <w:t>%</w:t>
      </w:r>
      <w:r>
        <w:rPr>
          <w:rFonts w:hint="eastAsia" w:ascii="仿宋_GB2312" w:hAnsi="仿宋_GB2312" w:eastAsia="仿宋_GB2312" w:cs="仿宋_GB2312"/>
          <w:b w:val="0"/>
          <w:bCs w:val="0"/>
          <w:i w:val="0"/>
          <w:i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（一）基本支出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24.58</w:t>
      </w:r>
      <w:r>
        <w:rPr>
          <w:rFonts w:hint="eastAsia" w:ascii="仿宋_GB2312" w:hAnsi="仿宋_GB2312" w:eastAsia="仿宋_GB2312" w:cs="仿宋_GB2312"/>
          <w:b w:val="0"/>
          <w:bCs w:val="0"/>
          <w:i w:val="0"/>
          <w:iCs w:val="0"/>
          <w:sz w:val="28"/>
          <w:szCs w:val="28"/>
        </w:rPr>
        <w:t>万元，比2017年预算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2.62</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11.9</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导致人员基本工资及津贴支出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rPr>
        <w:t>2018年项目支出</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万元，一般公共预算财政拨款</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万元，比2017年预算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减少</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下降</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无项目支出。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主要是</w:t>
      </w:r>
      <w:r>
        <w:rPr>
          <w:rFonts w:hint="eastAsia" w:ascii="仿宋_GB2312" w:hAnsi="仿宋_GB2312" w:eastAsia="仿宋_GB2312" w:cs="仿宋_GB2312"/>
          <w:b w:val="0"/>
          <w:bCs w:val="0"/>
          <w:i w:val="0"/>
          <w:iCs w:val="0"/>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1.一般公共服务支出24.58万元，比2017年预算增加8.74万元，增长11.9%，主要原因是：</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导致人员基本工资及津贴支出</w:t>
      </w:r>
      <w:r>
        <w:rPr>
          <w:rFonts w:hint="eastAsia" w:ascii="仿宋_GB2312" w:hAnsi="仿宋_GB2312" w:eastAsia="仿宋_GB2312" w:cs="仿宋_GB2312"/>
          <w:sz w:val="32"/>
          <w:szCs w:val="32"/>
          <w:lang w:eastAsia="zh-CN"/>
        </w:rPr>
        <w:t>增加。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2.社会保障和就业支出0万元，比2017年预算增加/减少0元，增长/下降0 %。主要原因是：退休人员养老金纳入社保基金。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2.公务接待费0万元,预计接待0批次0人次,比2017年预算增加/减少 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3.公务用车购置及运行维护费0万元（其中：公务用车购置0.00万元，公务用车运行维护费0万元），比2017年预算增加/减少 0万元，增长/下降0%，公务用车保有量0辆。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4.培训费0万元，预计培训0批次，0人次,比2017年预算增加/减少0万元，增长/下降0%。主要原因是：无培训。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5.会议费0万元，预计召开0类会议0批次,0人次,比2017年预算增加/减少 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机关运行费2.4万元，比2017年预算2.4万元增加/减少0万元，增长/下降0%。主要原因是：每年下拨经费相同。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highlight w:val="none"/>
        </w:rPr>
        <w:t>上年末固定资产金额为</w:t>
      </w:r>
      <w:r>
        <w:rPr>
          <w:rFonts w:hint="eastAsia" w:ascii="仿宋_GB2312" w:hAnsi="仿宋_GB2312" w:eastAsia="仿宋_GB2312" w:cs="仿宋_GB2312"/>
          <w:b w:val="0"/>
          <w:bCs w:val="0"/>
          <w:i w:val="0"/>
          <w:iCs w:val="0"/>
          <w:sz w:val="28"/>
          <w:szCs w:val="28"/>
          <w:highlight w:val="none"/>
          <w:lang w:val="en-US" w:eastAsia="zh-CN"/>
        </w:rPr>
        <w:t>187.1</w:t>
      </w:r>
      <w:r>
        <w:rPr>
          <w:rFonts w:hint="eastAsia" w:ascii="仿宋_GB2312" w:hAnsi="仿宋_GB2312" w:eastAsia="仿宋_GB2312" w:cs="仿宋_GB2312"/>
          <w:b w:val="0"/>
          <w:bCs w:val="0"/>
          <w:i w:val="0"/>
          <w:iCs w:val="0"/>
          <w:sz w:val="28"/>
          <w:szCs w:val="28"/>
          <w:highlight w:val="none"/>
        </w:rPr>
        <w:t>万元,其中：办公用</w:t>
      </w:r>
      <w:r>
        <w:rPr>
          <w:rFonts w:hint="eastAsia" w:ascii="仿宋_GB2312" w:hAnsi="仿宋_GB2312" w:eastAsia="仿宋_GB2312" w:cs="仿宋_GB2312"/>
          <w:b w:val="0"/>
          <w:bCs w:val="0"/>
          <w:i w:val="0"/>
          <w:iCs w:val="0"/>
          <w:sz w:val="28"/>
          <w:szCs w:val="28"/>
          <w:highlight w:val="none"/>
          <w:lang w:eastAsia="zh-CN"/>
        </w:rPr>
        <w:t>房</w:t>
      </w:r>
      <w:r>
        <w:rPr>
          <w:rFonts w:hint="eastAsia" w:ascii="仿宋_GB2312" w:hAnsi="仿宋_GB2312" w:eastAsia="仿宋_GB2312" w:cs="仿宋_GB2312"/>
          <w:b w:val="0"/>
          <w:bCs w:val="0"/>
          <w:i w:val="0"/>
          <w:iCs w:val="0"/>
          <w:sz w:val="28"/>
          <w:szCs w:val="28"/>
          <w:highlight w:val="none"/>
          <w:lang w:val="en-US" w:eastAsia="zh-CN"/>
        </w:rPr>
        <w:t>657.45</w:t>
      </w:r>
      <w:r>
        <w:rPr>
          <w:rFonts w:hint="eastAsia" w:ascii="仿宋_GB2312" w:hAnsi="仿宋_GB2312" w:eastAsia="仿宋_GB2312" w:cs="仿宋_GB2312"/>
          <w:b w:val="0"/>
          <w:bCs w:val="0"/>
          <w:i w:val="0"/>
          <w:iCs w:val="0"/>
          <w:sz w:val="28"/>
          <w:szCs w:val="28"/>
          <w:highlight w:val="none"/>
        </w:rPr>
        <w:t>平方米;部门及所属预算单位</w:t>
      </w:r>
      <w:r>
        <w:rPr>
          <w:rFonts w:hint="eastAsia" w:ascii="仿宋_GB2312" w:hAnsi="仿宋_GB2312" w:eastAsia="仿宋_GB2312" w:cs="仿宋_GB2312"/>
          <w:b w:val="0"/>
          <w:bCs w:val="0"/>
          <w:i w:val="0"/>
          <w:iCs w:val="0"/>
          <w:sz w:val="28"/>
          <w:szCs w:val="28"/>
          <w:highlight w:val="none"/>
          <w:lang w:eastAsia="zh-CN"/>
        </w:rPr>
        <w:t>无</w:t>
      </w:r>
      <w:r>
        <w:rPr>
          <w:rFonts w:hint="eastAsia" w:ascii="仿宋_GB2312" w:hAnsi="仿宋_GB2312" w:eastAsia="仿宋_GB2312" w:cs="仿宋_GB2312"/>
          <w:b w:val="0"/>
          <w:bCs w:val="0"/>
          <w:i w:val="0"/>
          <w:iCs w:val="0"/>
          <w:sz w:val="28"/>
          <w:szCs w:val="28"/>
          <w:highlight w:val="none"/>
        </w:rPr>
        <w:t>车辆，</w:t>
      </w:r>
      <w:r>
        <w:rPr>
          <w:rFonts w:hint="eastAsia" w:ascii="仿宋_GB2312" w:hAnsi="仿宋_GB2312" w:eastAsia="仿宋_GB2312" w:cs="仿宋_GB2312"/>
          <w:b w:val="0"/>
          <w:bCs w:val="0"/>
          <w:i w:val="0"/>
          <w:iCs w:val="0"/>
          <w:sz w:val="28"/>
          <w:szCs w:val="28"/>
          <w:highlight w:val="none"/>
          <w:lang w:eastAsia="zh-CN"/>
        </w:rPr>
        <w:t>无</w:t>
      </w:r>
      <w:r>
        <w:rPr>
          <w:rFonts w:hint="eastAsia" w:ascii="仿宋_GB2312" w:hAnsi="仿宋_GB2312" w:eastAsia="仿宋_GB2312" w:cs="仿宋_GB2312"/>
          <w:b w:val="0"/>
          <w:bCs w:val="0"/>
          <w:i w:val="0"/>
          <w:iCs w:val="0"/>
          <w:sz w:val="28"/>
          <w:szCs w:val="28"/>
          <w:highlight w:val="none"/>
        </w:rPr>
        <w:t>单价20万元以上通用设备</w:t>
      </w:r>
      <w:r>
        <w:rPr>
          <w:rFonts w:hint="eastAsia" w:ascii="仿宋_GB2312" w:hAnsi="仿宋_GB2312" w:eastAsia="仿宋_GB2312" w:cs="仿宋_GB2312"/>
          <w:b w:val="0"/>
          <w:bCs w:val="0"/>
          <w:i w:val="0"/>
          <w:iCs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2018年拟采购固定资产约</w:t>
      </w:r>
      <w:r>
        <w:rPr>
          <w:rFonts w:hint="eastAsia" w:ascii="仿宋_GB2312" w:hAnsi="仿宋_GB2312" w:eastAsia="仿宋_GB2312" w:cs="仿宋_GB2312"/>
          <w:b w:val="0"/>
          <w:bCs w:val="0"/>
          <w:i w:val="0"/>
          <w:iCs w:val="0"/>
          <w:sz w:val="28"/>
          <w:szCs w:val="28"/>
          <w:lang w:val="en-US" w:eastAsia="zh-CN"/>
        </w:rPr>
        <w:t>1.5</w:t>
      </w:r>
      <w:r>
        <w:rPr>
          <w:rFonts w:hint="eastAsia" w:ascii="仿宋_GB2312" w:hAnsi="仿宋_GB2312" w:eastAsia="仿宋_GB2312" w:cs="仿宋_GB2312"/>
          <w:b w:val="0"/>
          <w:bCs w:val="0"/>
          <w:i w:val="0"/>
          <w:iCs w:val="0"/>
          <w:sz w:val="28"/>
          <w:szCs w:val="28"/>
        </w:rPr>
        <w:t>万元，主要包括</w:t>
      </w:r>
      <w:r>
        <w:rPr>
          <w:rFonts w:hint="eastAsia" w:ascii="仿宋_GB2312" w:hAnsi="仿宋_GB2312" w:eastAsia="仿宋_GB2312" w:cs="仿宋_GB2312"/>
          <w:b w:val="0"/>
          <w:bCs w:val="0"/>
          <w:i w:val="0"/>
          <w:iCs w:val="0"/>
          <w:sz w:val="28"/>
          <w:szCs w:val="28"/>
          <w:lang w:eastAsia="zh-CN"/>
        </w:rPr>
        <w:t>：黑白打印机和彩色打印机各一台。</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bookmarkStart w:id="0" w:name="_GoBack"/>
      <w:bookmarkEnd w:id="0"/>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年预算实行绩效目标管理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涉及一般公共预算财政拨款</w:t>
      </w:r>
      <w:r>
        <w:rPr>
          <w:rFonts w:hint="eastAsia" w:ascii="仿宋_GB2312" w:hAnsi="仿宋_GB2312" w:eastAsia="仿宋_GB2312" w:cs="仿宋_GB2312"/>
          <w:sz w:val="32"/>
          <w:szCs w:val="32"/>
          <w:lang w:val="en-US" w:eastAsia="zh-CN"/>
        </w:rPr>
        <w:t>24.58</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22.18</w:t>
      </w:r>
      <w:r>
        <w:rPr>
          <w:rFonts w:hint="eastAsia" w:ascii="仿宋_GB2312" w:hAnsi="仿宋_GB2312" w:eastAsia="仿宋_GB2312" w:cs="仿宋_GB2312"/>
          <w:sz w:val="32"/>
          <w:szCs w:val="32"/>
        </w:rPr>
        <w:t>万元，商品和服务支出</w:t>
      </w:r>
      <w:r>
        <w:rPr>
          <w:rFonts w:ascii="仿宋_GB2312" w:hAnsi="仿宋_GB2312" w:eastAsia="仿宋_GB2312" w:cs="仿宋_GB2312"/>
          <w:sz w:val="32"/>
          <w:szCs w:val="32"/>
        </w:rPr>
        <w:t>2.40</w:t>
      </w:r>
      <w:r>
        <w:rPr>
          <w:rFonts w:hint="eastAsia" w:ascii="仿宋_GB2312" w:hAnsi="仿宋_GB2312" w:eastAsia="仿宋_GB2312" w:cs="仿宋_GB2312"/>
          <w:sz w:val="32"/>
          <w:szCs w:val="32"/>
        </w:rPr>
        <w:t>万元，占总支出预算的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14B648CB"/>
    <w:rsid w:val="159760A4"/>
    <w:rsid w:val="168C7DFC"/>
    <w:rsid w:val="18F51C45"/>
    <w:rsid w:val="1B5017E9"/>
    <w:rsid w:val="1C5F555A"/>
    <w:rsid w:val="1CD57B0E"/>
    <w:rsid w:val="1D1A03AD"/>
    <w:rsid w:val="21314266"/>
    <w:rsid w:val="21552D8F"/>
    <w:rsid w:val="218E69A0"/>
    <w:rsid w:val="22AF0D76"/>
    <w:rsid w:val="2C300910"/>
    <w:rsid w:val="30A51BC6"/>
    <w:rsid w:val="31755778"/>
    <w:rsid w:val="34EA3E19"/>
    <w:rsid w:val="3BA66A5E"/>
    <w:rsid w:val="3BB26158"/>
    <w:rsid w:val="3C365E20"/>
    <w:rsid w:val="3C695ECC"/>
    <w:rsid w:val="3F547775"/>
    <w:rsid w:val="410B2425"/>
    <w:rsid w:val="41840228"/>
    <w:rsid w:val="41DE0DBC"/>
    <w:rsid w:val="4B4E0F10"/>
    <w:rsid w:val="50C03E6B"/>
    <w:rsid w:val="50F54ACF"/>
    <w:rsid w:val="530149AE"/>
    <w:rsid w:val="54D2521F"/>
    <w:rsid w:val="5C3F395E"/>
    <w:rsid w:val="5E380040"/>
    <w:rsid w:val="6CE65DCE"/>
    <w:rsid w:val="6D8F3043"/>
    <w:rsid w:val="6E1E6293"/>
    <w:rsid w:val="6E973A9C"/>
    <w:rsid w:val="6EC22C68"/>
    <w:rsid w:val="6F3E7D68"/>
    <w:rsid w:val="704769B6"/>
    <w:rsid w:val="713820B0"/>
    <w:rsid w:val="73562C85"/>
    <w:rsid w:val="75714017"/>
    <w:rsid w:val="79521E73"/>
    <w:rsid w:val="7A231F91"/>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2018-05-15T01:30:07Z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