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崇信县柏树镇财政所2018年部门预算公开说明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柏树镇财政所主要负责本镇范围内财政财务政策的贯彻落实、编报财政收支预决算、管理国有资产、非税收入和财政票据、发放惠农补贴资金等工作。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柏树镇财政所属于财政全额拨款的事业单位，内设立惠农服务大厅。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20.80</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2.25</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9.6</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:人员经费减少。</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 xml:space="preserve"> 20.80</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2.25</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9.6</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人员经费减少。</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1.</w:t>
      </w:r>
      <w:r>
        <w:rPr>
          <w:rFonts w:hint="eastAsia" w:ascii="仿宋_GB2312" w:hAnsi="仿宋_GB2312" w:eastAsia="仿宋_GB2312" w:cs="仿宋_GB2312"/>
          <w:b/>
          <w:bCs/>
          <w:i w:val="0"/>
          <w:iCs w:val="0"/>
          <w:sz w:val="28"/>
          <w:szCs w:val="28"/>
        </w:rPr>
        <w:t>项目支出增减情况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280" w:firstLineChars="1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val="0"/>
          <w:bCs w:val="0"/>
          <w:i w:val="0"/>
          <w:iCs w:val="0"/>
          <w:sz w:val="28"/>
          <w:szCs w:val="28"/>
          <w:lang w:eastAsia="zh-CN"/>
        </w:rPr>
        <w:t>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280" w:firstLineChars="1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val="0"/>
          <w:bCs w:val="0"/>
          <w:i w:val="0"/>
          <w:iCs w:val="0"/>
          <w:sz w:val="28"/>
          <w:szCs w:val="28"/>
          <w:lang w:eastAsia="zh-CN"/>
        </w:rPr>
        <w:t>无项目支出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40" w:firstLineChars="3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一般公共服务支出20.80万元，比2017年预算减少2.25万元，下降9.6%，主要原因是：人员经费减少。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2018年本部门无非税收入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2.公务接待费0万元,预计接待0批次0人次,比2017年预算增加/减少0万元，增长/下降0%。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3.公务用车购置及运行维护费0万元（其中：公务用车购置0.00万元，公务用车运行维护费0万元），比2017年预算增加/减少0万元，增长/下降0%，公务用车保有量0辆。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4.培训费0万元，预计培训0批次，0人次,比2017年预算增加/减少0万元，增长/下降0%。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5.会议费0万元，预计召开0类会议0批次, 0人次,比2017年预算增加/减少0万元，增长/下降0%。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机关运行费2.4万元，比2017年预算2.4万元持平。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120.85</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331.24</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辆，价值</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万元;单价20万元以上通用设备</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2018年预算中实行绩效目标管理的项目0个。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bookmarkStart w:id="0" w:name="_GoBack"/>
      <w:bookmarkEnd w:id="0"/>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14B648CB"/>
    <w:rsid w:val="168C7DFC"/>
    <w:rsid w:val="18F51C45"/>
    <w:rsid w:val="1B5017E9"/>
    <w:rsid w:val="1C5F555A"/>
    <w:rsid w:val="1CD57B0E"/>
    <w:rsid w:val="1D1A03AD"/>
    <w:rsid w:val="21314266"/>
    <w:rsid w:val="21552D8F"/>
    <w:rsid w:val="218E69A0"/>
    <w:rsid w:val="22AF0D76"/>
    <w:rsid w:val="2C056B92"/>
    <w:rsid w:val="2C300910"/>
    <w:rsid w:val="30A51BC6"/>
    <w:rsid w:val="316C1951"/>
    <w:rsid w:val="31755778"/>
    <w:rsid w:val="34EA3E19"/>
    <w:rsid w:val="3BA66A5E"/>
    <w:rsid w:val="3BB26158"/>
    <w:rsid w:val="3C365E20"/>
    <w:rsid w:val="3C695ECC"/>
    <w:rsid w:val="3F547775"/>
    <w:rsid w:val="410B2425"/>
    <w:rsid w:val="41840228"/>
    <w:rsid w:val="41DE0DBC"/>
    <w:rsid w:val="4B4E0F10"/>
    <w:rsid w:val="50C03E6B"/>
    <w:rsid w:val="50F54ACF"/>
    <w:rsid w:val="530149AE"/>
    <w:rsid w:val="54D2521F"/>
    <w:rsid w:val="5C3F395E"/>
    <w:rsid w:val="5E380040"/>
    <w:rsid w:val="623A0997"/>
    <w:rsid w:val="6CE65DCE"/>
    <w:rsid w:val="6D130DE5"/>
    <w:rsid w:val="6D8F3043"/>
    <w:rsid w:val="6E1E6293"/>
    <w:rsid w:val="6E973A9C"/>
    <w:rsid w:val="6EC22C68"/>
    <w:rsid w:val="6F3E7D68"/>
    <w:rsid w:val="704769B6"/>
    <w:rsid w:val="713820B0"/>
    <w:rsid w:val="73562C85"/>
    <w:rsid w:val="75714017"/>
    <w:rsid w:val="7A231F91"/>
    <w:rsid w:val="7F3F7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cp:lastPrinted>2018-05-14T08:23:00Z</cp:lastPrinted>
  <dcterms:modified xsi:type="dcterms:W3CDTF">2018-05-22T09:08:30Z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