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lang w:val="en-US" w:eastAsia="zh-CN"/>
        </w:rPr>
      </w:pPr>
      <w:r>
        <w:rPr>
          <w:rFonts w:hint="eastAsia" w:ascii="方正小标宋简体" w:hAnsi="方正小标宋简体" w:eastAsia="方正小标宋简体" w:cs="方正小标宋简体"/>
          <w:b w:val="0"/>
          <w:bCs w:val="0"/>
          <w:i w:val="0"/>
          <w:iCs w:val="0"/>
          <w:sz w:val="40"/>
          <w:szCs w:val="40"/>
          <w:lang w:val="en-US" w:eastAsia="zh-CN"/>
        </w:rPr>
        <w:t>崇信县工业集中区管理委员会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28"/>
          <w:szCs w:val="28"/>
        </w:rPr>
      </w:pPr>
      <w:r>
        <w:rPr>
          <w:rFonts w:hint="eastAsia" w:ascii="楷体_GB2312" w:hAnsi="楷体" w:eastAsia="楷体_GB2312"/>
          <w:color w:val="000000"/>
          <w:sz w:val="32"/>
          <w:szCs w:val="32"/>
          <w:lang w:eastAsia="zh-CN"/>
        </w:rPr>
        <w:t>工业集中区管理委员会</w:t>
      </w:r>
      <w:r>
        <w:rPr>
          <w:rFonts w:hint="eastAsia" w:ascii="楷体_GB2312" w:hAnsi="楷体" w:eastAsia="楷体_GB2312"/>
          <w:color w:val="000000"/>
          <w:sz w:val="32"/>
          <w:szCs w:val="32"/>
        </w:rPr>
        <w:t>主要职责：</w:t>
      </w:r>
      <w:r>
        <w:rPr>
          <w:rFonts w:hint="eastAsia" w:ascii="仿宋_GB2312" w:eastAsia="仿宋_GB2312"/>
          <w:sz w:val="32"/>
          <w:szCs w:val="32"/>
        </w:rPr>
        <w:t>贯彻落实县委、县政府的重要决策和工作部署；</w:t>
      </w:r>
      <w:r>
        <w:rPr>
          <w:rFonts w:hint="eastAsia" w:ascii="仿宋_GB2312" w:hAnsi="仿宋_GB2312" w:eastAsia="仿宋_GB2312"/>
          <w:sz w:val="32"/>
          <w:szCs w:val="32"/>
        </w:rPr>
        <w:t>负责编制集中区总体规划，制定并落实各项优惠政策及管理办法；协调制定集中区内各厂矿企业发展规划；负责协调管理集中区内各类企业，做好各类招商引资和项目的引进、开发、考察、论证、立项以及实施等工作；负责协调筹措建设资金，组织实施集中区基础设施建设和管理工作；负责协助有关部门做好集中区内土地征收，土地使用权的出让、出租，水资源管理，移民安置等工作；负责协调工商、税务等部门，为集中区内各企业生产经营提供服务；开展集中区内各企业的环境保护、安全生产、项目建设等事宜的协调、监督和指导工作；履行集中区内</w:t>
      </w:r>
      <w:r>
        <w:rPr>
          <w:rFonts w:hint="eastAsia" w:ascii="仿宋_GB2312" w:eastAsia="仿宋_GB2312"/>
          <w:sz w:val="32"/>
          <w:szCs w:val="32"/>
        </w:rPr>
        <w:t>铜城、马沟、庙台、杜家塬、赵湾等5个村和</w:t>
      </w:r>
      <w:r>
        <w:rPr>
          <w:rFonts w:hint="eastAsia" w:ascii="仿宋_GB2312" w:hAnsi="仿宋" w:eastAsia="仿宋_GB2312" w:cs="宋体"/>
          <w:color w:val="000000"/>
          <w:kern w:val="0"/>
          <w:sz w:val="32"/>
          <w:szCs w:val="32"/>
        </w:rPr>
        <w:t>新窑、新柏、赤城3个居民社区的管理职能；</w:t>
      </w:r>
      <w:r>
        <w:rPr>
          <w:rFonts w:hint="eastAsia" w:ascii="仿宋_GB2312" w:hAnsi="仿宋_GB2312" w:eastAsia="仿宋_GB2312"/>
          <w:sz w:val="32"/>
          <w:szCs w:val="32"/>
        </w:rPr>
        <w:t>负责集中区内农业农村工作</w:t>
      </w:r>
      <w:r>
        <w:rPr>
          <w:rFonts w:hint="eastAsia" w:ascii="仿宋_GB2312" w:hAnsi="仿宋_GB2312" w:eastAsia="仿宋_GB2312"/>
          <w:color w:val="000000"/>
          <w:sz w:val="32"/>
          <w:szCs w:val="32"/>
        </w:rPr>
        <w:t>，引导农民培育、发展优势产业和特色产业，加快农村产业结构调整; 负责集中区内农村贫困人口的精准扶贫精准脱贫工作；负责健</w:t>
      </w:r>
      <w:r>
        <w:rPr>
          <w:rFonts w:hint="eastAsia" w:ascii="仿宋_GB2312" w:hAnsi="仿宋_GB2312" w:eastAsia="仿宋_GB2312"/>
          <w:sz w:val="32"/>
          <w:szCs w:val="32"/>
        </w:rPr>
        <w:t>全完善集中区公共服务体系和社会保障体系;</w:t>
      </w:r>
      <w:r>
        <w:rPr>
          <w:rFonts w:hint="eastAsia" w:ascii="仿宋_GB2312" w:hAnsi="仿宋" w:eastAsia="仿宋_GB2312" w:cs="宋体"/>
          <w:color w:val="000000"/>
          <w:kern w:val="0"/>
          <w:sz w:val="32"/>
          <w:szCs w:val="32"/>
        </w:rPr>
        <w:t>执行集中区经济社会发展规划，管理</w:t>
      </w:r>
      <w:r>
        <w:rPr>
          <w:rFonts w:hint="eastAsia" w:ascii="仿宋_GB2312" w:hAnsi="仿宋_GB2312" w:eastAsia="仿宋_GB2312"/>
          <w:sz w:val="32"/>
          <w:szCs w:val="32"/>
        </w:rPr>
        <w:t>经济、教育、卫生计划生育、科技、文化、体育事业和人大代表联络、组织、宣传、综治维稳、信访、民政、财政、公安、司法、人民武装、群团组织等行政工作；负责集中区内国有资产管理;完成县委、县政府交办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pStyle w:val="2"/>
        <w:ind w:firstLine="640" w:firstLineChars="200"/>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本单位属事业单位，执行事业单位会计制度，独立核算机构数为3个，编制人数为30人。工业集中区下属二级单位2个，</w:t>
      </w:r>
      <w:r>
        <w:rPr>
          <w:rFonts w:hint="eastAsia" w:ascii="仿宋_GB2312" w:hAnsi="仿宋" w:eastAsia="仿宋_GB2312"/>
          <w:color w:val="000000"/>
          <w:sz w:val="32"/>
          <w:szCs w:val="32"/>
        </w:rPr>
        <w:t>铜城能源循环经济产业园服务中心</w:t>
      </w:r>
      <w:r>
        <w:rPr>
          <w:rFonts w:hint="eastAsia" w:ascii="仿宋_GB2312" w:hAnsi="仿宋_GB2312" w:eastAsia="仿宋_GB2312" w:cs="仿宋_GB2312"/>
          <w:color w:val="000000"/>
          <w:sz w:val="32"/>
          <w:szCs w:val="32"/>
          <w:lang w:val="en-US" w:eastAsia="zh-CN" w:bidi="ar-SA"/>
        </w:rPr>
        <w:t>、</w:t>
      </w:r>
      <w:r>
        <w:rPr>
          <w:rFonts w:hint="eastAsia" w:ascii="仿宋_GB2312" w:hAnsi="仿宋" w:eastAsia="仿宋_GB2312"/>
          <w:color w:val="000000"/>
          <w:sz w:val="32"/>
          <w:szCs w:val="32"/>
        </w:rPr>
        <w:t>新窑煤炭深加工产业园服务中心</w:t>
      </w:r>
      <w:r>
        <w:rPr>
          <w:rFonts w:hint="eastAsia" w:ascii="仿宋_GB2312" w:hAnsi="仿宋_GB2312" w:eastAsia="仿宋_GB2312" w:cs="仿宋_GB2312"/>
          <w:color w:val="000000"/>
          <w:sz w:val="32"/>
          <w:szCs w:val="32"/>
          <w:lang w:val="en-US" w:eastAsia="zh-CN" w:bidi="ar-SA"/>
        </w:rPr>
        <w:t>铜城，编制人数各为12人。其中：在职68人，财政补助开支56人，三支、四支人员12人。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417.69</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211.51</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33.6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:退休人员工资纳入社保，人员减少，油用牡丹土地流转费纳入专户管理。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417.69</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211.51</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 33.6</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人员减少，油用牡丹土地流转费纳入专户管理。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43" w:firstLineChars="3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eastAsia="zh-CN"/>
        </w:rPr>
        <w:t>无</w:t>
      </w:r>
      <w:r>
        <w:rPr>
          <w:rFonts w:hint="eastAsia" w:ascii="仿宋_GB2312" w:hAnsi="仿宋_GB2312" w:eastAsia="仿宋_GB2312" w:cs="仿宋_GB2312"/>
          <w:b/>
          <w:bCs/>
          <w:i w:val="0"/>
          <w:iCs w:val="0"/>
          <w:sz w:val="28"/>
          <w:szCs w:val="28"/>
        </w:rPr>
        <w:t>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1.一般公共服务支出417.09万元，比2017年预算减少212.11万元，下降24%，主要原因是：人员减少，油用牡丹土地流转费纳入专户管理。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2.社会保障和就业支出0.6万元，比2017年预算增加0.6万元，主要原因是：新增加2名供养人员。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2018年本部门不涉及非税收入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2.公务接待费0.36万元,预计接待12批次120人次,比2017年预算减少0.24万元，下降 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3.公务用车购置及运行维护费2.9万元（其中：公务用车购置0.00万元，公务用车运行维护费2.9万元），比2017年增加0.9万元，增加0.45%，</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 0万元，预计培训0批次，0人次,比2017年预算增加/减少0万元，增长/下降0%。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 0万元，预计召开 0类会议 0批次, 0人次,比2017年预算增加/减少0万元，增长/下降0 %。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 23.94万元，比2017年预算减少1.2万元，下降4.8 %，原因：压减一般性支出。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381.85</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367.75</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14.1</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上年末固定资产金额为181.7万元,其中：办公用房1466   平方米;部门及所属预算单位共有车辆1辆，价值 13万元;单价20万元以上通用设备0台（套）。</w:t>
      </w:r>
      <w:bookmarkStart w:id="0" w:name="_GoBack"/>
      <w:bookmarkEnd w:id="0"/>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2018年拟采购固定资产约3.5万元，主要包括：打复印一体机2台，电脑3台，办公桌椅4套。</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2018年预算中实行绩效目标管理的项目1个。项目主要是部门整体支出绩效评价，涉及财政安排一般公共预算财政拨款417.69元   。其中：组织自评项目1 个，涉及417.69万元，占部门预算安排总额的100%。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- 3 -</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26A5A23"/>
    <w:rsid w:val="14B648CB"/>
    <w:rsid w:val="168C7DFC"/>
    <w:rsid w:val="18F51C45"/>
    <w:rsid w:val="1B5017E9"/>
    <w:rsid w:val="1C5F555A"/>
    <w:rsid w:val="1CD57B0E"/>
    <w:rsid w:val="1D1A03AD"/>
    <w:rsid w:val="21314266"/>
    <w:rsid w:val="21552D8F"/>
    <w:rsid w:val="218E69A0"/>
    <w:rsid w:val="22AF0D76"/>
    <w:rsid w:val="25CB5327"/>
    <w:rsid w:val="2C300910"/>
    <w:rsid w:val="30A51BC6"/>
    <w:rsid w:val="31755778"/>
    <w:rsid w:val="32442125"/>
    <w:rsid w:val="34EA3E19"/>
    <w:rsid w:val="39876189"/>
    <w:rsid w:val="3BA66A5E"/>
    <w:rsid w:val="3BB26158"/>
    <w:rsid w:val="3C365E20"/>
    <w:rsid w:val="3C695ECC"/>
    <w:rsid w:val="3F547775"/>
    <w:rsid w:val="410B2425"/>
    <w:rsid w:val="41840228"/>
    <w:rsid w:val="41DE0DBC"/>
    <w:rsid w:val="42886F7E"/>
    <w:rsid w:val="49D327B0"/>
    <w:rsid w:val="4B4E0F10"/>
    <w:rsid w:val="50C03E6B"/>
    <w:rsid w:val="50F54ACF"/>
    <w:rsid w:val="530149AE"/>
    <w:rsid w:val="54737E43"/>
    <w:rsid w:val="54D2521F"/>
    <w:rsid w:val="5C3F395E"/>
    <w:rsid w:val="5E380040"/>
    <w:rsid w:val="60713850"/>
    <w:rsid w:val="6AFE0A3B"/>
    <w:rsid w:val="6CE65DCE"/>
    <w:rsid w:val="6D8F3043"/>
    <w:rsid w:val="6E1E6293"/>
    <w:rsid w:val="6E973A9C"/>
    <w:rsid w:val="6EC22C68"/>
    <w:rsid w:val="6F3E7D68"/>
    <w:rsid w:val="704769B6"/>
    <w:rsid w:val="713820B0"/>
    <w:rsid w:val="73562C85"/>
    <w:rsid w:val="75714017"/>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3D3D3D"/>
      <w:u w:val="none"/>
    </w:rPr>
  </w:style>
  <w:style w:type="character" w:styleId="8">
    <w:name w:val="Emphasis"/>
    <w:basedOn w:val="5"/>
    <w:qFormat/>
    <w:uiPriority w:val="0"/>
  </w:style>
  <w:style w:type="character" w:styleId="9">
    <w:name w:val="Hyperlink"/>
    <w:basedOn w:val="5"/>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2018-05-21T07:54:06Z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