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农药经营许可证核发证明事项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告知承诺书</w:t>
      </w:r>
    </w:p>
    <w:p/>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一、基本信息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（一）申请人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姓    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联系方式：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证件类型：</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证件编号：</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（二）行政机关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名    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联系方式：</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二、行政机关告知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（一）证明事项名称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农药经营许可证核发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（二）证明用途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从事</w:t>
      </w:r>
      <w:r>
        <w:rPr>
          <w:rFonts w:hint="eastAsia" w:ascii="楷体_GB2312" w:hAnsi="楷体_GB2312" w:eastAsia="楷体_GB2312" w:cs="楷体_GB2312"/>
          <w:sz w:val="32"/>
          <w:szCs w:val="32"/>
          <w:lang w:val="en-US" w:eastAsia="zh-CN"/>
        </w:rPr>
        <w:t>农药经营活动（限制使用农药除外）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（三）设定证明的依据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1.农业农村部《农药经营许可管理办法》第四条　限制使用农药经营许可由省级人民政府农业主管部门（以下简称省级农业部门）核发；其他农药经营许可由县级以上地方人民政府农业主管部门（以下简称县级以上地方农业部门）根据农药经营者的申请分别核发。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农药经营许可实行一企一证管理，一个农药经营者只核发一个农药经营许可证。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农药经营者应当具备下列条件：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（一）有农学、植保、农药等相关专业中专以上学历或者专业教育培训机构五十六学时以上的学习经历，熟悉农药管理规定，掌握农药和</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"https://www.tuliu.com/tags/571.html" \t "https://www.tuliu.com/_blank"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病虫害</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防治专业知识，能够指导安全合理使用农药的经营人员；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（二）有不少于三十平方米的营业场所、不少于五十平方米的仓储场所，并与其他商品、生活区域、饮用水源有效隔离；兼营其他农业投入品的，应当具有相对独立的农药经营区域；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（三）营业场所和仓储场所应当配备通风、消防、预防中毒等设施，有与所经营农药品种、类别相适应的货架、柜台等展示、陈列的设施设备；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（四）有可追溯电子信息码扫描识别设备和用于记载农药购进、储存、销售等电子台账的计算机管理系统；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（五）有进货查验、台账记录、安全管理、安全防护、应急处置、仓储管理、农药废弃物回收与处置、使用指导等管理制度和岗位操作规程；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（六）农业部规定的其他条件。</w:t>
      </w:r>
    </w:p>
    <w:p>
      <w:pPr>
        <w:spacing w:line="620" w:lineRule="exact"/>
        <w:ind w:firstLine="640" w:firstLineChars="200"/>
        <w:jc w:val="left"/>
        <w:rPr>
          <w:rFonts w:hint="eastAsia" w:ascii="仿宋_GB2312" w:hAnsi="仿宋" w:eastAsia="仿宋_GB2312" w:cs="仿宋"/>
          <w:color w:val="000000"/>
          <w:sz w:val="32"/>
          <w:szCs w:val="32"/>
        </w:rPr>
      </w:pPr>
      <w:r>
        <w:rPr>
          <w:rFonts w:hint="eastAsia" w:ascii="仿宋_GB2312" w:hAnsi="仿宋_GB2312" w:eastAsia="仿宋_GB2312" w:cs="仿宋_GB2312"/>
          <w:sz w:val="32"/>
          <w:szCs w:val="32"/>
          <w:lang w:val="en-US" w:eastAsia="zh-CN"/>
        </w:rPr>
        <w:t>2.省农业农村厅《甘肃省农药经营许可审查细则》</w:t>
      </w:r>
      <w:r>
        <w:rPr>
          <w:rFonts w:hint="eastAsia" w:ascii="仿宋_GB2312" w:hAnsi="仿宋" w:eastAsia="仿宋_GB2312" w:cs="仿宋"/>
          <w:color w:val="000000"/>
          <w:sz w:val="32"/>
          <w:szCs w:val="32"/>
        </w:rPr>
        <w:t>第六条  农药经营者申请</w:t>
      </w:r>
      <w:r>
        <w:rPr>
          <w:rFonts w:hint="eastAsia" w:ascii="仿宋_GB2312" w:hAnsi="仿宋" w:eastAsia="仿宋_GB2312" w:cs="仿宋"/>
          <w:sz w:val="32"/>
          <w:szCs w:val="32"/>
        </w:rPr>
        <w:t>限制使用农药经营许可证的，应当符合《甘肃省限制使用农药定点经营布局规划》，并按照</w:t>
      </w:r>
      <w:r>
        <w:rPr>
          <w:rFonts w:hint="eastAsia" w:ascii="仿宋_GB2312" w:hAnsi="仿宋" w:eastAsia="仿宋_GB2312" w:cs="仿宋"/>
          <w:color w:val="000000"/>
          <w:sz w:val="32"/>
          <w:szCs w:val="32"/>
        </w:rPr>
        <w:t>《农药经营许可管理办法》第八条的规定向省级农业主管部门提交申请材料，按顺序装订，并提交电子文档。</w:t>
      </w:r>
    </w:p>
    <w:p>
      <w:pPr>
        <w:spacing w:line="620" w:lineRule="exact"/>
        <w:ind w:firstLine="640" w:firstLineChars="20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申请其他农药经营许可证的，按照《农药经营许可管理办法》第八条的规定向本辖区内的</w:t>
      </w:r>
      <w:r>
        <w:rPr>
          <w:rFonts w:hint="eastAsia" w:ascii="仿宋_GB2312" w:hAnsi="仿宋" w:eastAsia="仿宋_GB2312" w:cs="仿宋"/>
          <w:sz w:val="32"/>
          <w:szCs w:val="32"/>
        </w:rPr>
        <w:t>县级农业主管部门</w:t>
      </w:r>
      <w:r>
        <w:rPr>
          <w:rFonts w:hint="eastAsia" w:ascii="仿宋_GB2312" w:hAnsi="仿宋" w:eastAsia="仿宋_GB2312" w:cs="仿宋"/>
          <w:color w:val="000000"/>
          <w:sz w:val="32"/>
          <w:szCs w:val="32"/>
        </w:rPr>
        <w:t>提交申请材料，按顺序装订，并提交电子文档。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（四）证明的内容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1.主要管理人员、经营人员的学历或者培训证明；</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z w:val="32"/>
          <w:szCs w:val="32"/>
          <w:lang w:val="en-US" w:eastAsia="zh-CN"/>
        </w:rPr>
        <w:t>2.营业场所和仓储场所产权证书或租赁合</w:t>
      </w:r>
      <w:r>
        <w:rPr>
          <w:rFonts w:hint="eastAsia" w:ascii="仿宋_GB2312" w:hAnsi="仿宋_GB2312" w:eastAsia="仿宋_GB2312" w:cs="仿宋_GB2312"/>
          <w:spacing w:val="-20"/>
          <w:sz w:val="32"/>
          <w:szCs w:val="32"/>
          <w:lang w:val="en-US" w:eastAsia="zh-CN"/>
        </w:rPr>
        <w:t>同、防护设施；</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3.计算机管理系统、可追溯电子信息码扫描设备清单；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4.申请材料齐全、真实；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5.法律、法规规定的其他条件。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（五）告知承诺适用对象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本证明事项申请人可自主选择是否采用告知承诺替代证明，申请人不愿承诺或无法承诺的，应当提交规定的证明材料。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（六）承诺的方式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本证明事项采用书面承诺方式，申请人愿意作出承诺的，应当向行政机关提交本人签字后的告知承诺书原件。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z w:val="32"/>
          <w:szCs w:val="32"/>
          <w:lang w:val="en-US" w:eastAsia="zh-CN"/>
        </w:rPr>
        <w:t>本证明事项必须由申请人作出承诺，</w:t>
      </w:r>
      <w:r>
        <w:rPr>
          <w:rFonts w:hint="eastAsia" w:ascii="仿宋_GB2312" w:hAnsi="仿宋_GB2312" w:eastAsia="仿宋_GB2312" w:cs="仿宋_GB2312"/>
          <w:spacing w:val="-20"/>
          <w:sz w:val="32"/>
          <w:szCs w:val="32"/>
          <w:lang w:val="en-US" w:eastAsia="zh-CN"/>
        </w:rPr>
        <w:t>不可(能)代为承诺。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（七）承诺的效力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申请人书面承诺已经符合告知的条件、要求，并愿意承担不实承诺的法律责任后，行政机关不再索要有关证明而依据书面承诺办理相关事项。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（八）不实承诺的责任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证明事项告知承诺失信行为信息纳入甘肃省公共信用信息目录，对执意隐瞒真实情况、提供虚假承诺办理有关事项的，依法作出如下处理：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国务院《农药管理条例》</w:t>
      </w:r>
      <w:r>
        <w:rPr>
          <w:rFonts w:hint="default" w:ascii="仿宋_GB2312" w:hAnsi="仿宋_GB2312" w:eastAsia="仿宋_GB2312" w:cs="仿宋_GB2312"/>
          <w:sz w:val="32"/>
          <w:szCs w:val="32"/>
          <w:lang w:val="en-US" w:eastAsia="zh-CN"/>
        </w:rPr>
        <w:t>第五十五条 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pacing w:val="-20"/>
          <w:sz w:val="32"/>
          <w:szCs w:val="32"/>
          <w:lang w:val="en-US" w:eastAsia="zh-CN"/>
        </w:rPr>
      </w:pPr>
      <w:r>
        <w:rPr>
          <w:rFonts w:hint="default" w:ascii="仿宋_GB2312" w:hAnsi="仿宋_GB2312" w:eastAsia="仿宋_GB2312" w:cs="仿宋_GB2312"/>
          <w:sz w:val="32"/>
          <w:szCs w:val="32"/>
          <w:lang w:val="en-US" w:eastAsia="zh-CN"/>
        </w:rPr>
        <w:t>(一)违反本条例规定，未取得农药经</w:t>
      </w:r>
      <w:r>
        <w:rPr>
          <w:rFonts w:hint="default" w:ascii="仿宋_GB2312" w:hAnsi="仿宋_GB2312" w:eastAsia="仿宋_GB2312" w:cs="仿宋_GB2312"/>
          <w:spacing w:val="-20"/>
          <w:sz w:val="32"/>
          <w:szCs w:val="32"/>
          <w:lang w:val="en-US" w:eastAsia="zh-CN"/>
        </w:rPr>
        <w:t>营许可证经营农药;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(二)经营假农药;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(三)在农药中添加物质。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有前款第二项、第三项规定的行为，情节严重的，还应当由发证机关吊销农药经营许可证。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取得农药经营许可证的农药经营者不再符合规定条件继续经营农药的，由县级以上地方人民政府农业主管部门责令限期整改;逾期拒不整改或者整改后仍不符合规定条件的，由发证机关吊销农药经营许可证。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第五十六条 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第五十七条 农药经营者有下列行为之一的，由县级以上地方人民政府农业主管部门责令改正，没收违法所得和违法经营的农药，并处5000元以上5万元以下罚款;拒不改正或者情节严重的，由发证机关吊销农药经营许可证: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pacing w:val="-20"/>
          <w:sz w:val="32"/>
          <w:szCs w:val="32"/>
          <w:lang w:val="en-US" w:eastAsia="zh-CN"/>
        </w:rPr>
      </w:pPr>
      <w:r>
        <w:rPr>
          <w:rFonts w:hint="default" w:ascii="仿宋_GB2312" w:hAnsi="仿宋_GB2312" w:eastAsia="仿宋_GB2312" w:cs="仿宋_GB2312"/>
          <w:sz w:val="32"/>
          <w:szCs w:val="32"/>
          <w:lang w:val="en-US" w:eastAsia="zh-CN"/>
        </w:rPr>
        <w:t>(一)设立分支机构未依法变更农药经营许可证，或者未向分支机构所在地县级以上地方人</w:t>
      </w:r>
      <w:r>
        <w:rPr>
          <w:rFonts w:hint="default" w:ascii="仿宋_GB2312" w:hAnsi="仿宋_GB2312" w:eastAsia="仿宋_GB2312" w:cs="仿宋_GB2312"/>
          <w:spacing w:val="-20"/>
          <w:sz w:val="32"/>
          <w:szCs w:val="32"/>
          <w:lang w:val="en-US" w:eastAsia="zh-CN"/>
        </w:rPr>
        <w:t>民政府农业主管部门备案;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(二)向未取得农药生产许可证的农药生产企业或者未取得农药经营许可证的其他农药经营者采购农药;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(三)采购、销售未附具产品质量检验合格证或者包装、标签不符合规定的农药;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(四)不停止销售依法应当召回的农药。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第五十八条 农药经营者有下列行为之一的，由县级以上地方人民政府农业主管部门责令改正;拒不改正或者情节严重的，处2000元以上2万元以下罚款，并由发证机关吊销农药经营许可证: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(一)不执行农药采购台账、销售台账制度;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(二)在卫生用农药以外的农药经营场所内经营食品、食用农产品、饲料等;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(三)未将卫生用农药与其他商品分柜销售;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(四)不履行农药废弃物回收义务。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三、申请人承诺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申请人现作出下列承诺: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（一）已经知晓行政机关告知的全部内容;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（二）自身已符合行政机关告知的条件、要求；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（三）愿意承担不实承诺的法律责任;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（四）本人承诺许可后可核查方式:本人愿意配合对上述内容的调查、核查、核验。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（五）本告知承诺文书中填写的基本信息真实、准确;上述承诺是申请人真实的意思表示。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申请人签名: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行政机关(公章):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日      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          期:</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val="en-US" w:eastAsia="zh-CN"/>
        </w:rPr>
        <w:t>(本文书一式两份，行政机关与申请人各执一份。)</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37F86"/>
    <w:rsid w:val="448106C5"/>
    <w:rsid w:val="49BD335A"/>
    <w:rsid w:val="4F3E03B2"/>
    <w:rsid w:val="6B186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2020-08-12T06:45:00Z</dcterms:created>
  <dc:creator>456</dc:creator>
  <cp:lastModifiedBy>幕不悔</cp:lastModifiedBy>
  <cp:lastPrinted>2020-08-12T09:52:00Z</cp:lastPrinted>
  <dcterms:modified xsi:type="dcterms:W3CDTF">2020-08-13T00:52:36Z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