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rPr>
      </w:pPr>
      <w:r>
        <w:rPr>
          <w:rFonts w:hint="eastAsia" w:ascii="黑体" w:hAnsi="黑体" w:eastAsia="黑体" w:cs="黑体"/>
          <w:bCs/>
        </w:rPr>
        <w:t>附件1</w:t>
      </w:r>
    </w:p>
    <w:p>
      <w:pPr>
        <w:spacing w:line="700" w:lineRule="exact"/>
        <w:jc w:val="center"/>
        <w:rPr>
          <w:rFonts w:hint="eastAsia"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拟宣布失效和废止规范性文件登记表</w:t>
      </w:r>
    </w:p>
    <w:p>
      <w:pPr>
        <w:spacing w:line="600" w:lineRule="exact"/>
        <w:ind w:firstLine="472" w:firstLineChars="200"/>
        <w:rPr>
          <w:rFonts w:hint="eastAsia" w:ascii="宋体" w:hAnsi="宋体" w:eastAsia="宋体"/>
          <w:sz w:val="24"/>
          <w:szCs w:val="24"/>
        </w:rPr>
      </w:pPr>
      <w:r>
        <w:rPr>
          <w:rFonts w:hint="eastAsia" w:ascii="宋体" w:hAnsi="宋体" w:eastAsia="宋体"/>
          <w:sz w:val="24"/>
          <w:szCs w:val="24"/>
        </w:rPr>
        <w:t>报送部门：</w:t>
      </w:r>
    </w:p>
    <w:tbl>
      <w:tblPr>
        <w:tblStyle w:val="7"/>
        <w:tblW w:w="1369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43"/>
        <w:gridCol w:w="6898"/>
        <w:gridCol w:w="2476"/>
        <w:gridCol w:w="1253"/>
        <w:gridCol w:w="25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70" w:hRule="atLeast"/>
          <w:tblHeader/>
          <w:jc w:val="center"/>
        </w:trPr>
        <w:tc>
          <w:tcPr>
            <w:tcW w:w="543" w:type="dxa"/>
            <w:noWrap w:val="0"/>
            <w:vAlign w:val="center"/>
          </w:tcPr>
          <w:p>
            <w:pPr>
              <w:adjustRightInd w:val="0"/>
              <w:spacing w:line="300" w:lineRule="exact"/>
              <w:jc w:val="center"/>
              <w:rPr>
                <w:rFonts w:hint="eastAsia" w:ascii="宋体" w:hAnsi="宋体" w:eastAsia="宋体"/>
                <w:b/>
                <w:bCs/>
                <w:sz w:val="22"/>
                <w:szCs w:val="22"/>
              </w:rPr>
            </w:pPr>
            <w:r>
              <w:rPr>
                <w:rFonts w:hint="eastAsia" w:ascii="宋体" w:hAnsi="宋体" w:eastAsia="宋体"/>
                <w:b/>
                <w:bCs/>
                <w:sz w:val="22"/>
                <w:szCs w:val="22"/>
              </w:rPr>
              <w:t>序号</w:t>
            </w:r>
          </w:p>
        </w:tc>
        <w:tc>
          <w:tcPr>
            <w:tcW w:w="6898" w:type="dxa"/>
            <w:noWrap w:val="0"/>
            <w:vAlign w:val="center"/>
          </w:tcPr>
          <w:p>
            <w:pPr>
              <w:adjustRightInd w:val="0"/>
              <w:spacing w:line="300" w:lineRule="exact"/>
              <w:jc w:val="center"/>
              <w:rPr>
                <w:rFonts w:hint="eastAsia" w:ascii="宋体" w:hAnsi="宋体" w:eastAsia="宋体"/>
                <w:b/>
                <w:bCs/>
                <w:sz w:val="22"/>
                <w:szCs w:val="22"/>
              </w:rPr>
            </w:pPr>
            <w:r>
              <w:rPr>
                <w:rFonts w:hint="eastAsia" w:ascii="宋体" w:hAnsi="宋体" w:eastAsia="宋体"/>
                <w:b/>
                <w:bCs/>
                <w:sz w:val="22"/>
                <w:szCs w:val="22"/>
              </w:rPr>
              <w:t>文件名称</w:t>
            </w:r>
          </w:p>
        </w:tc>
        <w:tc>
          <w:tcPr>
            <w:tcW w:w="2476" w:type="dxa"/>
            <w:noWrap w:val="0"/>
            <w:vAlign w:val="center"/>
          </w:tcPr>
          <w:p>
            <w:pPr>
              <w:adjustRightInd w:val="0"/>
              <w:spacing w:line="300" w:lineRule="exact"/>
              <w:jc w:val="center"/>
              <w:rPr>
                <w:rFonts w:hint="eastAsia" w:ascii="宋体" w:hAnsi="宋体" w:eastAsia="宋体"/>
                <w:b/>
                <w:bCs/>
                <w:sz w:val="22"/>
                <w:szCs w:val="22"/>
              </w:rPr>
            </w:pPr>
            <w:r>
              <w:rPr>
                <w:rFonts w:hint="eastAsia" w:ascii="宋体" w:hAnsi="宋体" w:eastAsia="宋体"/>
                <w:b/>
                <w:bCs/>
                <w:sz w:val="22"/>
                <w:szCs w:val="22"/>
              </w:rPr>
              <w:t>发文字号</w:t>
            </w:r>
          </w:p>
        </w:tc>
        <w:tc>
          <w:tcPr>
            <w:tcW w:w="1253" w:type="dxa"/>
            <w:tcBorders>
              <w:right w:val="single" w:color="auto" w:sz="4" w:space="0"/>
            </w:tcBorders>
            <w:noWrap w:val="0"/>
            <w:vAlign w:val="center"/>
          </w:tcPr>
          <w:p>
            <w:pPr>
              <w:adjustRightInd w:val="0"/>
              <w:spacing w:line="300" w:lineRule="exact"/>
              <w:jc w:val="center"/>
              <w:rPr>
                <w:rFonts w:hint="eastAsia" w:ascii="宋体" w:hAnsi="宋体" w:eastAsia="宋体"/>
                <w:b/>
                <w:bCs/>
                <w:sz w:val="22"/>
                <w:szCs w:val="22"/>
              </w:rPr>
            </w:pPr>
            <w:r>
              <w:rPr>
                <w:rFonts w:hint="eastAsia" w:ascii="宋体" w:hAnsi="宋体" w:eastAsia="宋体"/>
                <w:b/>
                <w:bCs/>
                <w:sz w:val="22"/>
                <w:szCs w:val="22"/>
              </w:rPr>
              <w:t>发布时间</w:t>
            </w:r>
          </w:p>
        </w:tc>
        <w:tc>
          <w:tcPr>
            <w:tcW w:w="2524" w:type="dxa"/>
            <w:tcBorders>
              <w:left w:val="single" w:color="auto" w:sz="4" w:space="0"/>
            </w:tcBorders>
            <w:noWrap w:val="0"/>
            <w:vAlign w:val="center"/>
          </w:tcPr>
          <w:p>
            <w:pPr>
              <w:adjustRightInd w:val="0"/>
              <w:spacing w:line="300" w:lineRule="exact"/>
              <w:jc w:val="center"/>
              <w:rPr>
                <w:rFonts w:hint="eastAsia" w:ascii="宋体" w:hAnsi="宋体" w:eastAsia="宋体"/>
                <w:b/>
                <w:bCs/>
                <w:sz w:val="22"/>
                <w:szCs w:val="22"/>
              </w:rPr>
            </w:pPr>
            <w:r>
              <w:rPr>
                <w:rFonts w:hint="eastAsia" w:ascii="宋体" w:hAnsi="宋体" w:eastAsia="宋体"/>
                <w:b/>
                <w:bCs/>
                <w:sz w:val="22"/>
                <w:szCs w:val="22"/>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崇信县人民政府关于印发崇信县人民政府质量奖实施办法的通知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崇政发〔2013〕59号</w:t>
            </w:r>
          </w:p>
        </w:tc>
        <w:tc>
          <w:tcPr>
            <w:tcW w:w="1253" w:type="dxa"/>
            <w:tcBorders>
              <w:right w:val="single" w:color="auto" w:sz="4" w:space="0"/>
            </w:tcBorders>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2013.07.17</w:t>
            </w:r>
          </w:p>
        </w:tc>
        <w:tc>
          <w:tcPr>
            <w:tcW w:w="2524" w:type="dxa"/>
            <w:tcBorders>
              <w:left w:val="single" w:color="auto" w:sz="4" w:space="0"/>
            </w:tcBorders>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崇信县人民政府关于印发崇信县农村居民最低生活保障工作实施细则的通知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崇政发〔2013〕60号</w:t>
            </w:r>
          </w:p>
        </w:tc>
        <w:tc>
          <w:tcPr>
            <w:tcW w:w="1253" w:type="dxa"/>
            <w:tcBorders>
              <w:right w:val="single" w:color="auto" w:sz="4" w:space="0"/>
            </w:tcBorders>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2013.07.05</w:t>
            </w:r>
          </w:p>
        </w:tc>
        <w:tc>
          <w:tcPr>
            <w:tcW w:w="2524" w:type="dxa"/>
            <w:tcBorders>
              <w:left w:val="single" w:color="auto" w:sz="4" w:space="0"/>
            </w:tcBorders>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3</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崇信县人民政府关于印发崇信县城市居民最低生活保障工作实施细则的通知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崇政发﹝2013﹞61号</w:t>
            </w:r>
          </w:p>
        </w:tc>
        <w:tc>
          <w:tcPr>
            <w:tcW w:w="1253" w:type="dxa"/>
            <w:tcBorders>
              <w:right w:val="single" w:color="auto" w:sz="4" w:space="0"/>
            </w:tcBorders>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2013.07.05</w:t>
            </w:r>
          </w:p>
        </w:tc>
        <w:tc>
          <w:tcPr>
            <w:tcW w:w="2524" w:type="dxa"/>
            <w:tcBorders>
              <w:left w:val="single" w:color="auto" w:sz="4" w:space="0"/>
            </w:tcBorders>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4</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崇信县人民政府关于印发崇信县城市居民最低生活保障办法的通知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崇政发〔2013〕116号</w:t>
            </w:r>
          </w:p>
        </w:tc>
        <w:tc>
          <w:tcPr>
            <w:tcW w:w="1253" w:type="dxa"/>
            <w:tcBorders>
              <w:right w:val="single" w:color="auto" w:sz="4" w:space="0"/>
            </w:tcBorders>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2013.12.31</w:t>
            </w:r>
          </w:p>
        </w:tc>
        <w:tc>
          <w:tcPr>
            <w:tcW w:w="2524" w:type="dxa"/>
            <w:tcBorders>
              <w:left w:val="single" w:color="auto" w:sz="4" w:space="0"/>
            </w:tcBorders>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5</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崇信县人民政府关于印发崇信县政府投资项目审计监督实施办法的通知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崇政发〔2014〕90号</w:t>
            </w:r>
          </w:p>
        </w:tc>
        <w:tc>
          <w:tcPr>
            <w:tcW w:w="1253" w:type="dxa"/>
            <w:tcBorders>
              <w:right w:val="single" w:color="auto" w:sz="4" w:space="0"/>
            </w:tcBorders>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2014.10.17</w:t>
            </w:r>
          </w:p>
        </w:tc>
        <w:tc>
          <w:tcPr>
            <w:tcW w:w="2524" w:type="dxa"/>
            <w:tcBorders>
              <w:left w:val="single" w:color="auto" w:sz="4" w:space="0"/>
            </w:tcBorders>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6</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崇信县人民政府关于印发崇信县规范性文件管理办法的通知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崇政发〔2015〕47号</w:t>
            </w:r>
          </w:p>
        </w:tc>
        <w:tc>
          <w:tcPr>
            <w:tcW w:w="1253" w:type="dxa"/>
            <w:tcBorders>
              <w:right w:val="single" w:color="auto" w:sz="4" w:space="0"/>
            </w:tcBorders>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2015.05.28</w:t>
            </w:r>
          </w:p>
        </w:tc>
        <w:tc>
          <w:tcPr>
            <w:tcW w:w="2524" w:type="dxa"/>
            <w:tcBorders>
              <w:left w:val="single" w:color="auto" w:sz="4" w:space="0"/>
            </w:tcBorders>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7</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崇信县人民政府关于印发崇信县城乡居民临时救助办法的通知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崇政发〔2015〕60号</w:t>
            </w:r>
          </w:p>
        </w:tc>
        <w:tc>
          <w:tcPr>
            <w:tcW w:w="1253" w:type="dxa"/>
            <w:tcBorders>
              <w:right w:val="single" w:color="auto" w:sz="4" w:space="0"/>
            </w:tcBorders>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2015.08.06</w:t>
            </w:r>
          </w:p>
        </w:tc>
        <w:tc>
          <w:tcPr>
            <w:tcW w:w="2524" w:type="dxa"/>
            <w:tcBorders>
              <w:left w:val="single" w:color="auto" w:sz="4" w:space="0"/>
            </w:tcBorders>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8</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崇信县人民政府关于印发崇信县城镇棚户区改造项目政府购买服务管理办法（试行）的通知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崇政发〔2016〕2号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2016.04.18</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9</w:t>
            </w:r>
          </w:p>
        </w:tc>
        <w:tc>
          <w:tcPr>
            <w:tcW w:w="6898" w:type="dxa"/>
            <w:noWrap w:val="0"/>
            <w:vAlign w:val="center"/>
          </w:tcPr>
          <w:p>
            <w:pPr>
              <w:adjustRightInd w:val="0"/>
              <w:spacing w:line="300" w:lineRule="exact"/>
              <w:rPr>
                <w:rFonts w:hint="eastAsia" w:ascii="宋体" w:hAnsi="宋体" w:eastAsia="宋体"/>
                <w:color w:val="auto"/>
                <w:sz w:val="22"/>
                <w:szCs w:val="22"/>
              </w:rPr>
            </w:pPr>
            <w:r>
              <w:rPr>
                <w:rFonts w:hint="eastAsia" w:ascii="宋体" w:hAnsi="宋体" w:eastAsia="宋体"/>
                <w:color w:val="auto"/>
                <w:sz w:val="22"/>
                <w:szCs w:val="22"/>
              </w:rPr>
              <w:t>崇信县人民政府关于印发崇信县重大行政决策程序规则的通知</w:t>
            </w:r>
          </w:p>
        </w:tc>
        <w:tc>
          <w:tcPr>
            <w:tcW w:w="2476" w:type="dxa"/>
            <w:noWrap w:val="0"/>
            <w:vAlign w:val="center"/>
          </w:tcPr>
          <w:p>
            <w:pPr>
              <w:adjustRightInd w:val="0"/>
              <w:spacing w:line="300" w:lineRule="exact"/>
              <w:jc w:val="center"/>
              <w:rPr>
                <w:rFonts w:hint="eastAsia" w:ascii="宋体" w:hAnsi="宋体" w:eastAsia="宋体"/>
                <w:color w:val="auto"/>
                <w:sz w:val="22"/>
                <w:szCs w:val="22"/>
              </w:rPr>
            </w:pPr>
            <w:r>
              <w:rPr>
                <w:rFonts w:hint="eastAsia" w:ascii="宋体" w:hAnsi="宋体" w:eastAsia="宋体"/>
                <w:color w:val="auto"/>
                <w:sz w:val="22"/>
                <w:szCs w:val="22"/>
              </w:rPr>
              <w:t>崇政发〔2018〕95号</w:t>
            </w:r>
          </w:p>
        </w:tc>
        <w:tc>
          <w:tcPr>
            <w:tcW w:w="1253" w:type="dxa"/>
            <w:noWrap w:val="0"/>
            <w:vAlign w:val="center"/>
          </w:tcPr>
          <w:p>
            <w:pPr>
              <w:adjustRightInd w:val="0"/>
              <w:spacing w:line="300" w:lineRule="exact"/>
              <w:jc w:val="center"/>
              <w:rPr>
                <w:rFonts w:hint="eastAsia" w:ascii="宋体" w:hAnsi="宋体" w:eastAsia="宋体"/>
                <w:color w:val="auto"/>
                <w:sz w:val="22"/>
                <w:szCs w:val="22"/>
              </w:rPr>
            </w:pPr>
            <w:r>
              <w:rPr>
                <w:rFonts w:hint="eastAsia" w:ascii="宋体" w:hAnsi="宋体" w:eastAsia="宋体"/>
                <w:color w:val="auto"/>
                <w:sz w:val="22"/>
                <w:szCs w:val="22"/>
              </w:rPr>
              <w:t>2018.07.10</w:t>
            </w:r>
          </w:p>
        </w:tc>
        <w:tc>
          <w:tcPr>
            <w:tcW w:w="2524" w:type="dxa"/>
            <w:noWrap w:val="0"/>
            <w:vAlign w:val="center"/>
          </w:tcPr>
          <w:p>
            <w:pPr>
              <w:adjustRightInd w:val="0"/>
              <w:spacing w:line="300" w:lineRule="exact"/>
              <w:rPr>
                <w:rFonts w:hint="eastAsia" w:ascii="宋体" w:hAnsi="宋体" w:eastAsia="宋体"/>
                <w:spacing w:val="-6"/>
                <w:sz w:val="22"/>
                <w:szCs w:val="22"/>
              </w:rPr>
            </w:pPr>
            <w:r>
              <w:rPr>
                <w:rFonts w:hint="eastAsia" w:ascii="宋体" w:hAnsi="宋体" w:eastAsia="宋体"/>
                <w:spacing w:val="-6"/>
                <w:sz w:val="22"/>
                <w:szCs w:val="22"/>
              </w:rPr>
              <w:t>已被新的规范性文件所代替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10</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崇信县人民政府关于印发崇信县投资项目并联审批办法（试行）的通知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崇政发〔2018〕173号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2018.08.20</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7"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11</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崇信县人民政府办公室关于印发崇信县公共资源交易投诉举报处理办法的通知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崇政办发〔2015〕74号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2015.08.30</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12</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崇信县人民政府办公室关于印发崇信县城镇棚户区改造项目国家开发银行贷款管理办法的通知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崇政办发〔2015〕80号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2015.09.15</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13</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崇信县人民政府办公室关于印发崇信县新型职业农民培育认定管理办法的通知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崇政办发（2015）92号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2015.09.28</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14</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崇信县人民政府办公室关于印发崇信县城规划区范围内个人建房管理办法（试行）的通知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崇政办发〔2016〕2号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2016.06.03</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15</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崇信县人民政府办公室关于印发崇信县农村产权交易管理办法（试行）的通知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崇政办发〔2016〕93号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2016.08.05</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16</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崇信县人民政府办公室关于印发崇信县专项建设基金项目资金管理办法（试行）的通知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崇政办发〔2016〕94号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2016.08.08</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8"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17</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崇信县人民政府办公室关于印发崇信县城区燃煤供暖锅炉关停淘汰或废气污染治理项目补助资金使用办法（试行）的通知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崇政办发〔2016〕198号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2016.12.06</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8"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18</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崇信县人民政府办公室关于印发崇信县异地扶贫搬迁项目资金管理办法（试行）的通知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崇政办发〔2016〕212号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2016.12.26</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8"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19</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崇信县人民政府办公室关于印发崇信县政府投资项目和非政府投资项目管理办法的通知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崇政办发〔2017〕2号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2017.03.22</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已被新的规范性文件所</w:t>
            </w:r>
          </w:p>
          <w:p>
            <w:pPr>
              <w:adjustRightInd w:val="0"/>
              <w:spacing w:line="300" w:lineRule="exact"/>
              <w:rPr>
                <w:rFonts w:hint="eastAsia" w:ascii="宋体" w:hAnsi="宋体" w:eastAsia="宋体"/>
                <w:sz w:val="22"/>
                <w:szCs w:val="22"/>
              </w:rPr>
            </w:pPr>
            <w:r>
              <w:rPr>
                <w:rFonts w:hint="eastAsia" w:ascii="宋体" w:hAnsi="宋体" w:eastAsia="宋体"/>
                <w:sz w:val="22"/>
                <w:szCs w:val="22"/>
              </w:rPr>
              <w:t>代替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88"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崇信县人民政府办公室关于印发崇信县统筹整合使用财政涉农资金管理办法（试行）的通知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崇政办发〔2017〕56号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2017.05.17</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60"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21</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崇信县人民政府办公室关于印发崇信县鼓励旅行社团组织引进境外旅游团体来崇旅游奖励办法（试行）的通知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崇政办发〔2017〕57号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2017.09.22</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已被新的规范性文件所</w:t>
            </w:r>
          </w:p>
          <w:p>
            <w:pPr>
              <w:adjustRightInd w:val="0"/>
              <w:spacing w:line="300" w:lineRule="exact"/>
              <w:rPr>
                <w:rFonts w:hint="eastAsia" w:ascii="宋体" w:hAnsi="宋体" w:eastAsia="宋体"/>
                <w:sz w:val="22"/>
                <w:szCs w:val="22"/>
              </w:rPr>
            </w:pPr>
            <w:r>
              <w:rPr>
                <w:rFonts w:hint="eastAsia" w:ascii="宋体" w:hAnsi="宋体" w:eastAsia="宋体"/>
                <w:sz w:val="22"/>
                <w:szCs w:val="22"/>
              </w:rPr>
              <w:t>代替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60"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22</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崇信县人民政府办公室关于印发崇信县城区燃放烟花爆竹管理办法（试行）的通知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崇政办发〔2017〕98号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2017.07.10</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60" w:hRule="atLeast"/>
          <w:jc w:val="center"/>
        </w:trPr>
        <w:tc>
          <w:tcPr>
            <w:tcW w:w="54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23</w:t>
            </w:r>
          </w:p>
        </w:tc>
        <w:tc>
          <w:tcPr>
            <w:tcW w:w="6898"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崇信县人民政府办公室关于印发崇信县煤矸石管理办法（试行）的通知</w:t>
            </w:r>
          </w:p>
        </w:tc>
        <w:tc>
          <w:tcPr>
            <w:tcW w:w="2476"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崇政办发〔2017〕151号</w:t>
            </w:r>
          </w:p>
        </w:tc>
        <w:tc>
          <w:tcPr>
            <w:tcW w:w="1253" w:type="dxa"/>
            <w:noWrap w:val="0"/>
            <w:vAlign w:val="center"/>
          </w:tcPr>
          <w:p>
            <w:pPr>
              <w:adjustRightInd w:val="0"/>
              <w:spacing w:line="300" w:lineRule="exact"/>
              <w:jc w:val="center"/>
              <w:rPr>
                <w:rFonts w:hint="eastAsia" w:ascii="宋体" w:hAnsi="宋体" w:eastAsia="宋体"/>
                <w:sz w:val="22"/>
                <w:szCs w:val="22"/>
              </w:rPr>
            </w:pPr>
            <w:r>
              <w:rPr>
                <w:rFonts w:hint="eastAsia" w:ascii="宋体" w:hAnsi="宋体" w:eastAsia="宋体"/>
                <w:sz w:val="22"/>
                <w:szCs w:val="22"/>
              </w:rPr>
              <w:t>2017.10.16</w:t>
            </w:r>
          </w:p>
        </w:tc>
        <w:tc>
          <w:tcPr>
            <w:tcW w:w="2524" w:type="dxa"/>
            <w:noWrap w:val="0"/>
            <w:vAlign w:val="center"/>
          </w:tcPr>
          <w:p>
            <w:pPr>
              <w:adjustRightInd w:val="0"/>
              <w:spacing w:line="300" w:lineRule="exact"/>
              <w:rPr>
                <w:rFonts w:hint="eastAsia" w:ascii="宋体" w:hAnsi="宋体" w:eastAsia="宋体"/>
                <w:sz w:val="22"/>
                <w:szCs w:val="22"/>
              </w:rPr>
            </w:pPr>
            <w:r>
              <w:rPr>
                <w:rFonts w:hint="eastAsia" w:ascii="宋体" w:hAnsi="宋体" w:eastAsia="宋体"/>
                <w:sz w:val="22"/>
                <w:szCs w:val="22"/>
              </w:rPr>
              <w:t>有效期已满且不需要延期</w:t>
            </w:r>
          </w:p>
        </w:tc>
      </w:tr>
    </w:tbl>
    <w:p>
      <w:bookmarkStart w:id="0" w:name="_GoBack"/>
      <w:bookmarkEnd w:id="0"/>
    </w:p>
    <w:sectPr>
      <w:headerReference r:id="rId3" w:type="default"/>
      <w:footerReference r:id="rId5" w:type="default"/>
      <w:headerReference r:id="rId4" w:type="even"/>
      <w:footerReference r:id="rId6" w:type="even"/>
      <w:pgSz w:w="16838" w:h="11906" w:orient="landscape"/>
      <w:pgMar w:top="1701" w:right="1474" w:bottom="1587" w:left="1587" w:header="851" w:footer="862" w:gutter="0"/>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Cs w:val="28"/>
      </w:rPr>
    </w:pPr>
    <w:r>
      <w:rPr>
        <w:rFonts w:hint="eastAsia"/>
        <w:szCs w:val="28"/>
      </w:rPr>
      <mc:AlternateContent>
        <mc:Choice Requires="wps">
          <w:drawing>
            <wp:anchor distT="0" distB="0" distL="114300" distR="114300" simplePos="0" relativeHeight="251658240" behindDoc="0" locked="0" layoutInCell="1" allowOverlap="1">
              <wp:simplePos x="0" y="0"/>
              <wp:positionH relativeFrom="column">
                <wp:posOffset>-469265</wp:posOffset>
              </wp:positionH>
              <wp:positionV relativeFrom="paragraph">
                <wp:posOffset>-881380</wp:posOffset>
              </wp:positionV>
              <wp:extent cx="228600" cy="5181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518160"/>
                      </a:xfrm>
                      <a:prstGeom prst="rect">
                        <a:avLst/>
                      </a:prstGeom>
                      <a:noFill/>
                      <a:ln>
                        <a:noFill/>
                      </a:ln>
                    </wps:spPr>
                    <wps:txbx>
                      <w:txbxContent>
                        <w:p>
                          <w:pPr>
                            <w:pStyle w:val="4"/>
                            <w:jc w:val="both"/>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6.95pt;margin-top:-69.4pt;height:40.8pt;width:18pt;z-index:251658240;mso-width-relative:page;mso-height-relative:page;" filled="f" stroked="f" coordsize="21600,21600" o:gfxdata="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FgEW3AAAAAwBAAAPAAAAAAAAAAEAIAAAACIAAABkcnMvZG93bnJl&#10;di54bWxQSwECFAAUAAAACACHTuJAFd9PAMABAAB9AwAADgAAAAAAAAABACAAAAArAQAAZHJzL2Uy&#10;b0RvYy54bWxQSwUGAAAAAAYABgBZAQAAXQUAAAAA&#10;">
              <v:path/>
              <v:fill on="f" focussize="0,0"/>
              <v:stroke on="f"/>
              <v:imagedata o:title=""/>
              <o:lock v:ext="edit"/>
              <v:textbox inset="0mm,0mm,0mm,0mm" style="layout-flow:vertical;">
                <w:txbxContent>
                  <w:p>
                    <w:pPr>
                      <w:pStyle w:val="4"/>
                      <w:jc w:val="both"/>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Cs w:val="28"/>
      </w:rPr>
      <mc:AlternateContent>
        <mc:Choice Requires="wps">
          <w:drawing>
            <wp:anchor distT="0" distB="0" distL="114300" distR="114300" simplePos="0" relativeHeight="251659264" behindDoc="0" locked="0" layoutInCell="1" allowOverlap="1">
              <wp:simplePos x="0" y="0"/>
              <wp:positionH relativeFrom="column">
                <wp:posOffset>-431800</wp:posOffset>
              </wp:positionH>
              <wp:positionV relativeFrom="paragraph">
                <wp:posOffset>547370</wp:posOffset>
              </wp:positionV>
              <wp:extent cx="228600" cy="5181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8600" cy="518160"/>
                      </a:xfrm>
                      <a:prstGeom prst="rect">
                        <a:avLst/>
                      </a:prstGeom>
                      <a:noFill/>
                      <a:ln>
                        <a:noFill/>
                      </a:ln>
                    </wps:spPr>
                    <wps:txbx>
                      <w:txbxContent>
                        <w:p>
                          <w:pPr>
                            <w:pStyle w:val="4"/>
                            <w:jc w:val="both"/>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4pt;margin-top:43.1pt;height:40.8pt;width:18pt;z-index:251659264;mso-width-relative:page;mso-height-relative:page;" filled="f" stroked="f" coordsize="21600,21600" o:gfxdata="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qC9S2gAAAAoBAAAPAAAAAAAAAAEAIAAAACIAAABkcnMvZG93bnJldi54&#10;bWxQSwECFAAUAAAACACHTuJA+QE51b8BAAB9AwAADgAAAAAAAAABACAAAAApAQAAZHJzL2Uyb0Rv&#10;Yy54bWxQSwUGAAAAAAYABgBZAQAAWgUAAAAA&#10;">
              <v:path/>
              <v:fill on="f" focussize="0,0"/>
              <v:stroke on="f"/>
              <v:imagedata o:title=""/>
              <o:lock v:ext="edit"/>
              <v:textbox inset="0mm,0mm,0mm,0mm" style="layout-flow:vertical;">
                <w:txbxContent>
                  <w:p>
                    <w:pPr>
                      <w:pStyle w:val="4"/>
                      <w:jc w:val="both"/>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30782"/>
    <w:rsid w:val="2983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仿宋_GB2312" w:eastAsia="仿宋_GB2312" w:cs="仿宋_GB2312"/>
      <w:color w:val="000000"/>
      <w:kern w:val="32"/>
      <w:sz w:val="32"/>
      <w:szCs w:val="3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rPr>
      <w:kern w:val="32"/>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2020-12-09T09:41:00Z</dcterms:created>
  <dc:creator>章进</dc:creator>
  <cp:lastModifiedBy>章进</cp:lastModifiedBy>
  <dcterms:modified xsi:type="dcterms:W3CDTF">2020-12-09T09:42:06Z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