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val="en-US" w:eastAsia="zh-CN"/>
        </w:rPr>
        <w:t>2020年度预算绩效工作开展情况</w:t>
      </w:r>
    </w:p>
    <w:p>
      <w:pPr>
        <w:widowControl/>
        <w:spacing w:line="560" w:lineRule="exact"/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Times New Roman" w:cs="Times New Roman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微软雅黑"/>
          <w:sz w:val="32"/>
          <w:szCs w:val="32"/>
          <w:lang w:val="en-US" w:eastAsia="zh-CN"/>
        </w:rPr>
        <w:t>20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年我县</w:t>
      </w:r>
      <w:r>
        <w:rPr>
          <w:rFonts w:hint="eastAsia" w:ascii="仿宋_GB2312" w:hAnsi="微软雅黑" w:eastAsia="仿宋_GB2312"/>
          <w:sz w:val="32"/>
          <w:szCs w:val="32"/>
        </w:rPr>
        <w:t>采取自评与重点评价和再评价相结合的方式开展绩效评价。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实行项目实施单位绩效先自评，向财政部门报送自评报告，财政部门会同纪委监委、审计、行业主管部门进行再评价或聘请第三方中介机构进行重点评价，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建立了绩效评价结果与预算安排调整挂钩机制，对生态功能区转移支付、抗疫特别国债、省市各类专项等民生项目开展绩效评价，委托第三方机构对全县17个部门59个扶贫项目资金进行绩效评价，评价资金6.5亿元，提高了资金使用效益。</w:t>
      </w:r>
      <w:bookmarkStart w:id="0" w:name="_GoBack"/>
      <w:bookmarkEnd w:id="0"/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B34A3"/>
    <w:rsid w:val="322660D4"/>
    <w:rsid w:val="4D366FA3"/>
    <w:rsid w:val="5103740B"/>
    <w:rsid w:val="51D02DBC"/>
    <w:rsid w:val="771D74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仿宋_GB2312"/>
      <w:bCs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6">
    <w:name w:val="UserStyle_0"/>
    <w:qFormat/>
    <w:uiPriority w:val="99"/>
    <w:pPr>
      <w:spacing w:line="460" w:lineRule="atLeast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。君陌璃</cp:lastModifiedBy>
  <dcterms:modified xsi:type="dcterms:W3CDTF">2021-08-17T08:07:54Z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4DCFF3A9912D4672B68EFB2662B98BDB</vt:lpwstr>
  </property>
</Properties>
</file>