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崇信县人民政府办公室2020</w:t>
      </w:r>
      <w:r>
        <w:rPr>
          <w:rFonts w:hint="eastAsia" w:ascii="方正小标宋简体" w:hAnsi="方正小标宋简体" w:eastAsia="方正小标宋简体" w:cs="方正小标宋简体"/>
          <w:sz w:val="44"/>
          <w:szCs w:val="44"/>
        </w:rPr>
        <w:t>年预算公开说明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按照《预算法》、《地方预决算公开操作规程》、《中共甘肃省委办公厅 甘肃省人民政府办公厅关于进一步推进预算公开工作的实施方案》，现将2020年部门预算公开如下：</w:t>
      </w:r>
    </w:p>
    <w:p>
      <w:pPr>
        <w:numPr>
          <w:ilvl w:val="0"/>
          <w:numId w:val="1"/>
        </w:numPr>
        <w:tabs>
          <w:tab w:val="left" w:pos="180"/>
        </w:tabs>
        <w:snapToGrid w:val="0"/>
        <w:spacing w:line="555" w:lineRule="atLeast"/>
        <w:ind w:left="-544" w:leftChars="-259" w:firstLine="480" w:firstLineChars="150"/>
        <w:rPr>
          <w:rFonts w:hint="eastAsia" w:ascii="黑体" w:hAnsi="黑体" w:eastAsia="黑体" w:cs="黑体"/>
          <w:b w:val="0"/>
          <w:bCs w:val="0"/>
          <w:i w:val="0"/>
          <w:iCs w:val="0"/>
          <w:sz w:val="32"/>
          <w:szCs w:val="32"/>
        </w:rPr>
      </w:pPr>
      <w:r>
        <w:rPr>
          <w:rFonts w:hint="eastAsia" w:ascii="黑体" w:hAnsi="黑体" w:eastAsia="黑体" w:cs="黑体"/>
          <w:b w:val="0"/>
          <w:bCs w:val="0"/>
          <w:i w:val="0"/>
          <w:iCs w:val="0"/>
          <w:sz w:val="32"/>
          <w:szCs w:val="32"/>
        </w:rPr>
        <w:t>部门职责</w:t>
      </w:r>
    </w:p>
    <w:p>
      <w:pPr>
        <w:numPr>
          <w:ilvl w:val="0"/>
          <w:numId w:val="0"/>
        </w:numPr>
        <w:tabs>
          <w:tab w:val="left" w:pos="180"/>
        </w:tabs>
        <w:snapToGrid w:val="0"/>
        <w:spacing w:line="555" w:lineRule="atLeast"/>
        <w:ind w:firstLine="320" w:firstLineChars="100"/>
        <w:rPr>
          <w:rFonts w:ascii="仿宋" w:hAnsi="仿宋" w:eastAsia="仿宋"/>
          <w:sz w:val="32"/>
          <w:szCs w:val="32"/>
        </w:rPr>
      </w:pPr>
      <w:r>
        <w:rPr>
          <w:rFonts w:ascii="仿宋" w:hAnsi="仿宋" w:eastAsia="仿宋"/>
          <w:sz w:val="32"/>
          <w:szCs w:val="32"/>
        </w:rPr>
        <w:t>（一）负责处理县政府的日常政务和事务；</w:t>
      </w:r>
      <w:r>
        <w:rPr>
          <w:rFonts w:hint="eastAsia" w:ascii="仿宋" w:hAnsi="仿宋" w:eastAsia="仿宋"/>
          <w:sz w:val="32"/>
          <w:szCs w:val="32"/>
        </w:rPr>
        <w:t>协助县政府领导起草或审核以县政府、县政府办公室名义发布的公文和部分会议材料;准备</w:t>
      </w:r>
      <w:r>
        <w:rPr>
          <w:rFonts w:ascii="仿宋" w:hAnsi="仿宋" w:eastAsia="仿宋"/>
          <w:sz w:val="32"/>
          <w:szCs w:val="32"/>
        </w:rPr>
        <w:t>县政府会议</w:t>
      </w:r>
      <w:r>
        <w:rPr>
          <w:rFonts w:hint="eastAsia" w:ascii="仿宋" w:hAnsi="仿宋" w:eastAsia="仿宋"/>
          <w:sz w:val="32"/>
          <w:szCs w:val="32"/>
        </w:rPr>
        <w:t>，协助县政府领导组织实施会议决定事项</w:t>
      </w:r>
      <w:r>
        <w:rPr>
          <w:rFonts w:ascii="仿宋" w:hAnsi="仿宋" w:eastAsia="仿宋"/>
          <w:sz w:val="32"/>
          <w:szCs w:val="32"/>
        </w:rPr>
        <w:t>。</w:t>
      </w:r>
    </w:p>
    <w:p>
      <w:pPr>
        <w:tabs>
          <w:tab w:val="left" w:pos="180"/>
        </w:tabs>
        <w:snapToGrid w:val="0"/>
        <w:spacing w:line="555" w:lineRule="atLeast"/>
        <w:ind w:left="-544" w:leftChars="-259" w:firstLine="960" w:firstLineChars="300"/>
        <w:rPr>
          <w:rFonts w:ascii="仿宋" w:hAnsi="仿宋" w:eastAsia="仿宋"/>
          <w:sz w:val="32"/>
          <w:szCs w:val="32"/>
        </w:rPr>
      </w:pPr>
      <w:r>
        <w:rPr>
          <w:rFonts w:ascii="仿宋" w:hAnsi="仿宋" w:eastAsia="仿宋"/>
          <w:sz w:val="32"/>
          <w:szCs w:val="32"/>
        </w:rPr>
        <w:t>（二）对各乡（镇）、各部门请示事项提出拟办意见，报县政府领导审批。对乡（镇）之间、部门之间和县内外有关工作进行协调。及时向县政府领导报告重要信息和重大情况，协助县政府领导处理重大突发事件。</w:t>
      </w:r>
    </w:p>
    <w:p>
      <w:pPr>
        <w:tabs>
          <w:tab w:val="left" w:pos="180"/>
        </w:tabs>
        <w:snapToGrid w:val="0"/>
        <w:spacing w:line="555" w:lineRule="atLeast"/>
        <w:ind w:left="-544" w:leftChars="-259" w:firstLine="800" w:firstLineChars="250"/>
        <w:rPr>
          <w:rFonts w:ascii="仿宋" w:hAnsi="仿宋" w:eastAsia="仿宋"/>
          <w:sz w:val="32"/>
          <w:szCs w:val="32"/>
        </w:rPr>
      </w:pPr>
      <w:r>
        <w:rPr>
          <w:rFonts w:ascii="仿宋" w:hAnsi="仿宋" w:eastAsia="仿宋"/>
          <w:sz w:val="32"/>
          <w:szCs w:val="32"/>
        </w:rPr>
        <w:t>（三）督促检查县政府各项决议、决定、重要工作部署和县政府领导同志重要批示的贯彻执行情况</w:t>
      </w:r>
      <w:r>
        <w:rPr>
          <w:rFonts w:hint="eastAsia" w:ascii="仿宋" w:hAnsi="仿宋" w:eastAsia="仿宋"/>
          <w:sz w:val="32"/>
          <w:szCs w:val="32"/>
        </w:rPr>
        <w:t>；指导和协调政府系统政务信息工作；</w:t>
      </w:r>
      <w:r>
        <w:rPr>
          <w:rFonts w:ascii="仿宋" w:hAnsi="仿宋" w:eastAsia="仿宋"/>
          <w:sz w:val="32"/>
          <w:szCs w:val="32"/>
        </w:rPr>
        <w:t>组织办理县人大代表意见、建议和县政协委员提案，做好催办、反馈工作，及时向县政府领导同志报告。</w:t>
      </w:r>
    </w:p>
    <w:p>
      <w:pPr>
        <w:tabs>
          <w:tab w:val="left" w:pos="180"/>
        </w:tabs>
        <w:snapToGrid w:val="0"/>
        <w:spacing w:line="555" w:lineRule="atLeast"/>
        <w:ind w:left="-544" w:leftChars="-259" w:firstLine="800" w:firstLineChars="250"/>
        <w:rPr>
          <w:rFonts w:ascii="仿宋" w:hAnsi="仿宋" w:eastAsia="仿宋"/>
          <w:sz w:val="32"/>
          <w:szCs w:val="32"/>
        </w:rPr>
      </w:pPr>
      <w:r>
        <w:rPr>
          <w:rFonts w:ascii="仿宋" w:hAnsi="仿宋" w:eastAsia="仿宋"/>
          <w:sz w:val="32"/>
          <w:szCs w:val="32"/>
        </w:rPr>
        <w:t>（四）负责全县应急管理和地震监测、预防、管理工作；主管全县信息化工作，承办电子政务建设工作；指导全县政府信息公开工作，协调引导对全县经济建设和政府</w:t>
      </w:r>
      <w:r>
        <w:rPr>
          <w:rFonts w:hint="eastAsia" w:ascii="仿宋" w:hAnsi="仿宋" w:eastAsia="仿宋"/>
          <w:sz w:val="32"/>
          <w:szCs w:val="32"/>
        </w:rPr>
        <w:t>工作</w:t>
      </w:r>
      <w:r>
        <w:rPr>
          <w:rFonts w:ascii="仿宋" w:hAnsi="仿宋" w:eastAsia="仿宋"/>
          <w:sz w:val="32"/>
          <w:szCs w:val="32"/>
        </w:rPr>
        <w:t>的宣传报道。</w:t>
      </w:r>
    </w:p>
    <w:p>
      <w:pPr>
        <w:tabs>
          <w:tab w:val="left" w:pos="180"/>
        </w:tabs>
        <w:snapToGrid w:val="0"/>
        <w:spacing w:line="555" w:lineRule="atLeast"/>
        <w:ind w:left="-544" w:leftChars="-259" w:firstLine="800" w:firstLineChars="25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监督法律、法规和规章的贯彻执行情况；</w:t>
      </w:r>
      <w:r>
        <w:rPr>
          <w:rFonts w:ascii="仿宋" w:hAnsi="仿宋" w:eastAsia="仿宋"/>
          <w:sz w:val="32"/>
          <w:szCs w:val="32"/>
        </w:rPr>
        <w:t>承担县政府行政执法、行政执法监督、行政复议</w:t>
      </w:r>
      <w:r>
        <w:rPr>
          <w:rFonts w:hint="eastAsia" w:ascii="仿宋" w:hAnsi="仿宋" w:eastAsia="仿宋"/>
          <w:sz w:val="32"/>
          <w:szCs w:val="32"/>
        </w:rPr>
        <w:t>、行政</w:t>
      </w:r>
      <w:r>
        <w:rPr>
          <w:rFonts w:ascii="仿宋" w:hAnsi="仿宋" w:eastAsia="仿宋"/>
          <w:sz w:val="32"/>
          <w:szCs w:val="32"/>
        </w:rPr>
        <w:t>应诉、行政赔偿、政府法制宣传教育等工作的组织、审查和实施，对全县法制工作进行规划、协调、监督和管理。</w:t>
      </w:r>
    </w:p>
    <w:p>
      <w:pPr>
        <w:tabs>
          <w:tab w:val="left" w:pos="180"/>
        </w:tabs>
        <w:snapToGrid w:val="0"/>
        <w:spacing w:line="555" w:lineRule="atLeast"/>
        <w:ind w:left="-544" w:leftChars="-259" w:firstLine="800" w:firstLineChars="250"/>
        <w:rPr>
          <w:rFonts w:ascii="仿宋" w:hAnsi="仿宋" w:eastAsia="仿宋"/>
          <w:sz w:val="32"/>
          <w:szCs w:val="32"/>
        </w:rPr>
      </w:pPr>
      <w:r>
        <w:rPr>
          <w:rFonts w:ascii="仿宋" w:hAnsi="仿宋" w:eastAsia="仿宋"/>
          <w:sz w:val="32"/>
          <w:szCs w:val="32"/>
        </w:rPr>
        <w:t>（六）负责县政府重大活动和县政府领导同志公务活动的组织安排；开展调查研究，反映情况，提出建议，为政府制定方针政策发挥参谋助手作用。</w:t>
      </w:r>
    </w:p>
    <w:p>
      <w:pPr>
        <w:tabs>
          <w:tab w:val="left" w:pos="180"/>
        </w:tabs>
        <w:snapToGrid w:val="0"/>
        <w:spacing w:line="555" w:lineRule="atLeast"/>
        <w:ind w:left="-544" w:leftChars="-259" w:firstLine="640" w:firstLineChars="200"/>
        <w:rPr>
          <w:rFonts w:ascii="仿宋" w:hAnsi="仿宋" w:eastAsia="仿宋"/>
          <w:sz w:val="32"/>
          <w:szCs w:val="32"/>
        </w:rPr>
      </w:pPr>
      <w:r>
        <w:rPr>
          <w:rFonts w:ascii="仿宋" w:hAnsi="仿宋" w:eastAsia="仿宋"/>
          <w:sz w:val="32"/>
          <w:szCs w:val="32"/>
        </w:rPr>
        <w:t>（七）做好县政府领导同志的事务服务、县政府机关的后勤服务保障工作和离退休干部职工的服务工作</w:t>
      </w:r>
      <w:r>
        <w:rPr>
          <w:rFonts w:hint="eastAsia" w:ascii="仿宋" w:hAnsi="仿宋" w:eastAsia="仿宋"/>
          <w:sz w:val="32"/>
          <w:szCs w:val="32"/>
        </w:rPr>
        <w:t>，管理县政府驻外办事机构和龙泉宾馆</w:t>
      </w:r>
      <w:r>
        <w:rPr>
          <w:rFonts w:ascii="仿宋" w:hAnsi="仿宋" w:eastAsia="仿宋"/>
          <w:sz w:val="32"/>
          <w:szCs w:val="32"/>
        </w:rPr>
        <w:t>。</w:t>
      </w:r>
    </w:p>
    <w:p>
      <w:pPr>
        <w:tabs>
          <w:tab w:val="left" w:pos="180"/>
        </w:tabs>
        <w:snapToGrid w:val="0"/>
        <w:spacing w:line="555" w:lineRule="atLeast"/>
        <w:ind w:left="-544" w:leftChars="-259" w:firstLine="640" w:firstLineChars="200"/>
        <w:rPr>
          <w:rFonts w:ascii="仿宋" w:hAnsi="仿宋" w:eastAsia="仿宋"/>
          <w:sz w:val="32"/>
          <w:szCs w:val="32"/>
        </w:rPr>
      </w:pPr>
      <w:r>
        <w:rPr>
          <w:rFonts w:ascii="仿宋" w:hAnsi="仿宋" w:eastAsia="仿宋"/>
          <w:sz w:val="32"/>
          <w:szCs w:val="32"/>
        </w:rPr>
        <w:t>（八）承办县政府和县政府领导</w:t>
      </w:r>
      <w:r>
        <w:rPr>
          <w:rFonts w:hint="eastAsia" w:ascii="仿宋" w:hAnsi="仿宋" w:eastAsia="仿宋"/>
          <w:sz w:val="32"/>
          <w:szCs w:val="32"/>
        </w:rPr>
        <w:t>同志</w:t>
      </w:r>
      <w:r>
        <w:rPr>
          <w:rFonts w:ascii="仿宋" w:hAnsi="仿宋" w:eastAsia="仿宋"/>
          <w:sz w:val="32"/>
          <w:szCs w:val="32"/>
        </w:rPr>
        <w:t>交办的其他事项。</w:t>
      </w:r>
    </w:p>
    <w:p>
      <w:pPr>
        <w:widowControl w:val="0"/>
        <w:autoSpaceDE w:val="0"/>
        <w:autoSpaceDN w:val="0"/>
        <w:adjustRightInd w:val="0"/>
        <w:spacing w:line="600" w:lineRule="exact"/>
        <w:ind w:firstLine="640" w:firstLineChars="200"/>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rPr>
        <w:t>二、部门机构设置</w:t>
      </w:r>
      <w:r>
        <w:rPr>
          <w:rFonts w:hint="eastAsia" w:ascii="黑体" w:hAnsi="黑体" w:eastAsia="黑体" w:cs="黑体"/>
          <w:b w:val="0"/>
          <w:bCs w:val="0"/>
          <w:i w:val="0"/>
          <w:iCs w:val="0"/>
          <w:sz w:val="32"/>
          <w:szCs w:val="32"/>
          <w:lang w:val="en-US" w:eastAsia="zh-CN"/>
        </w:rPr>
        <w:t xml:space="preserve"> </w:t>
      </w:r>
    </w:p>
    <w:p>
      <w:pPr>
        <w:widowControl w:val="0"/>
        <w:autoSpaceDE w:val="0"/>
        <w:autoSpaceDN w:val="0"/>
        <w:adjustRightIn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崇信县人民政府办公室是县政府的综合办事机构，主要有参谋助手、综合协调、督查落实、后勤保障四大职能。本单位属行政单位，执行行政事业单位会计制度，财政预算代码为： 2010301  。独立核算机构数为 1个, 机关行政编制18名，机关工勤编制</w:t>
      </w:r>
      <w:r>
        <w:rPr>
          <w:rFonts w:hint="eastAsia" w:ascii="仿宋" w:hAnsi="仿宋" w:eastAsia="仿宋"/>
          <w:sz w:val="32"/>
          <w:szCs w:val="32"/>
          <w:lang w:val="en-US" w:eastAsia="zh-CN"/>
        </w:rPr>
        <w:t>8</w:t>
      </w:r>
      <w:r>
        <w:rPr>
          <w:rFonts w:hint="eastAsia" w:ascii="仿宋" w:hAnsi="仿宋" w:eastAsia="仿宋"/>
          <w:sz w:val="32"/>
          <w:szCs w:val="32"/>
        </w:rPr>
        <w:t>名。其中：政府领导5名，办公室主任1名，副主任</w:t>
      </w:r>
      <w:r>
        <w:rPr>
          <w:rFonts w:hint="eastAsia" w:ascii="仿宋" w:hAnsi="仿宋" w:eastAsia="仿宋"/>
          <w:sz w:val="32"/>
          <w:szCs w:val="32"/>
          <w:lang w:val="en-US" w:eastAsia="zh-CN"/>
        </w:rPr>
        <w:t>3</w:t>
      </w:r>
      <w:r>
        <w:rPr>
          <w:rFonts w:hint="eastAsia" w:ascii="仿宋" w:hAnsi="仿宋" w:eastAsia="仿宋"/>
          <w:sz w:val="32"/>
          <w:szCs w:val="32"/>
        </w:rPr>
        <w:t>名</w:t>
      </w:r>
      <w:r>
        <w:rPr>
          <w:rFonts w:hint="eastAsia" w:ascii="仿宋" w:hAnsi="仿宋" w:eastAsia="仿宋"/>
          <w:sz w:val="32"/>
          <w:szCs w:val="32"/>
          <w:lang w:eastAsia="zh-CN"/>
        </w:rPr>
        <w:t>，秘书</w:t>
      </w:r>
      <w:r>
        <w:rPr>
          <w:rFonts w:hint="eastAsia" w:ascii="仿宋" w:hAnsi="仿宋" w:eastAsia="仿宋"/>
          <w:sz w:val="32"/>
          <w:szCs w:val="32"/>
          <w:lang w:val="en-US" w:eastAsia="zh-CN"/>
        </w:rPr>
        <w:t>9名，工勤人员8名</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崇信县政府决策咨询服务中心，隶属县政府办公室管理，正科级全额事业单位，核定编制11名，设主任1名，副主任2名。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崇信县金融信息服务中心，隶属县政府办公室管理,副科级全额事业单位，核定编制6名，设主任1名。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i w:val="0"/>
          <w:iCs w:val="0"/>
          <w:sz w:val="32"/>
          <w:szCs w:val="32"/>
        </w:rPr>
      </w:pPr>
      <w:r>
        <w:rPr>
          <w:rFonts w:hint="eastAsia" w:ascii="黑体" w:hAnsi="黑体" w:eastAsia="黑体" w:cs="黑体"/>
          <w:b w:val="0"/>
          <w:bCs w:val="0"/>
          <w:i w:val="0"/>
          <w:iCs w:val="0"/>
          <w:sz w:val="32"/>
          <w:szCs w:val="32"/>
        </w:rPr>
        <w:t>三、部门收支总体情况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年部门收支包括机关预算和</w:t>
      </w:r>
      <w:r>
        <w:rPr>
          <w:rFonts w:hint="eastAsia" w:ascii="仿宋_GB2312" w:hAnsi="仿宋_GB2312" w:eastAsia="仿宋_GB2312" w:cs="仿宋_GB2312"/>
          <w:sz w:val="32"/>
          <w:szCs w:val="32"/>
          <w:lang w:val="en-US" w:eastAsia="zh-CN"/>
        </w:rPr>
        <w:t>下属</w:t>
      </w:r>
      <w:r>
        <w:rPr>
          <w:rFonts w:hint="eastAsia" w:ascii="仿宋_GB2312" w:hAnsi="仿宋_GB2312" w:eastAsia="仿宋_GB2312" w:cs="仿宋_GB2312"/>
          <w:sz w:val="32"/>
          <w:szCs w:val="32"/>
        </w:rPr>
        <w:t>单位预算在内的汇总情况。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textAlignment w:val="auto"/>
        <w:outlineLvl w:val="9"/>
        <w:rPr>
          <w:rFonts w:hint="eastAsia" w:ascii="楷体_GB2312" w:hAnsi="楷体_GB2312" w:eastAsia="楷体_GB2312" w:cs="楷体_GB2312"/>
          <w:b/>
          <w:bCs/>
          <w:i w:val="0"/>
          <w:iCs w:val="0"/>
          <w:sz w:val="32"/>
          <w:szCs w:val="32"/>
        </w:rPr>
      </w:pPr>
      <w:r>
        <w:rPr>
          <w:rFonts w:hint="eastAsia" w:ascii="楷体_GB2312" w:hAnsi="楷体_GB2312" w:eastAsia="楷体_GB2312" w:cs="楷体_GB2312"/>
          <w:b/>
          <w:bCs/>
          <w:i w:val="0"/>
          <w:iCs w:val="0"/>
          <w:sz w:val="32"/>
          <w:szCs w:val="32"/>
        </w:rPr>
        <w:t>（一） 收入预算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2020年预算收入</w:t>
      </w:r>
      <w:r>
        <w:rPr>
          <w:rFonts w:hint="eastAsia" w:ascii="仿宋_GB2312" w:hAnsi="仿宋_GB2312" w:eastAsia="仿宋_GB2312" w:cs="仿宋_GB2312"/>
          <w:b w:val="0"/>
          <w:bCs w:val="0"/>
          <w:i w:val="0"/>
          <w:iCs w:val="0"/>
          <w:sz w:val="32"/>
          <w:szCs w:val="32"/>
          <w:lang w:val="en-US" w:eastAsia="zh-CN"/>
        </w:rPr>
        <w:t>328.71</w:t>
      </w:r>
      <w:r>
        <w:rPr>
          <w:rFonts w:hint="eastAsia" w:ascii="仿宋_GB2312" w:hAnsi="仿宋_GB2312" w:eastAsia="仿宋_GB2312" w:cs="仿宋_GB2312"/>
          <w:b w:val="0"/>
          <w:bCs w:val="0"/>
          <w:i w:val="0"/>
          <w:iCs w:val="0"/>
          <w:sz w:val="32"/>
          <w:szCs w:val="32"/>
        </w:rPr>
        <w:t>万元，其中：一般公共预算财政拨款收入</w:t>
      </w:r>
      <w:r>
        <w:rPr>
          <w:rFonts w:hint="eastAsia" w:ascii="仿宋_GB2312" w:hAnsi="仿宋_GB2312" w:eastAsia="仿宋_GB2312" w:cs="仿宋_GB2312"/>
          <w:b w:val="0"/>
          <w:bCs w:val="0"/>
          <w:i w:val="0"/>
          <w:iCs w:val="0"/>
          <w:sz w:val="32"/>
          <w:szCs w:val="32"/>
          <w:lang w:val="en-US" w:eastAsia="zh-CN"/>
        </w:rPr>
        <w:t>328.71</w:t>
      </w:r>
      <w:r>
        <w:rPr>
          <w:rFonts w:hint="eastAsia" w:ascii="仿宋_GB2312" w:hAnsi="仿宋_GB2312" w:eastAsia="仿宋_GB2312" w:cs="仿宋_GB2312"/>
          <w:b w:val="0"/>
          <w:bCs w:val="0"/>
          <w:i w:val="0"/>
          <w:iCs w:val="0"/>
          <w:sz w:val="32"/>
          <w:szCs w:val="32"/>
        </w:rPr>
        <w:t>万元，比2019年预算收入</w:t>
      </w:r>
      <w:r>
        <w:rPr>
          <w:rFonts w:hint="eastAsia" w:ascii="仿宋_GB2312" w:hAnsi="仿宋_GB2312" w:eastAsia="仿宋_GB2312" w:cs="仿宋_GB2312"/>
          <w:b w:val="0"/>
          <w:bCs w:val="0"/>
          <w:i w:val="0"/>
          <w:iCs w:val="0"/>
          <w:sz w:val="32"/>
          <w:szCs w:val="32"/>
          <w:lang w:eastAsia="zh-CN"/>
        </w:rPr>
        <w:t>增加</w:t>
      </w:r>
      <w:r>
        <w:rPr>
          <w:rFonts w:hint="eastAsia" w:ascii="仿宋_GB2312" w:hAnsi="仿宋_GB2312" w:eastAsia="仿宋_GB2312" w:cs="仿宋_GB2312"/>
          <w:b w:val="0"/>
          <w:bCs w:val="0"/>
          <w:i w:val="0"/>
          <w:iCs w:val="0"/>
          <w:sz w:val="32"/>
          <w:szCs w:val="32"/>
          <w:lang w:val="en-US" w:eastAsia="zh-CN"/>
        </w:rPr>
        <w:t>14.07</w:t>
      </w:r>
      <w:r>
        <w:rPr>
          <w:rFonts w:hint="eastAsia" w:ascii="仿宋_GB2312" w:hAnsi="仿宋_GB2312" w:eastAsia="仿宋_GB2312" w:cs="仿宋_GB2312"/>
          <w:b w:val="0"/>
          <w:bCs w:val="0"/>
          <w:i w:val="0"/>
          <w:iCs w:val="0"/>
          <w:sz w:val="32"/>
          <w:szCs w:val="32"/>
        </w:rPr>
        <w:t>万元，</w:t>
      </w:r>
      <w:r>
        <w:rPr>
          <w:rFonts w:hint="eastAsia" w:ascii="仿宋_GB2312" w:hAnsi="仿宋_GB2312" w:eastAsia="仿宋_GB2312" w:cs="仿宋_GB2312"/>
          <w:b w:val="0"/>
          <w:bCs w:val="0"/>
          <w:i w:val="0"/>
          <w:iCs w:val="0"/>
          <w:sz w:val="32"/>
          <w:szCs w:val="32"/>
          <w:lang w:eastAsia="zh-CN"/>
        </w:rPr>
        <w:t>增长</w:t>
      </w:r>
      <w:r>
        <w:rPr>
          <w:rFonts w:hint="eastAsia" w:ascii="仿宋_GB2312" w:hAnsi="仿宋_GB2312" w:eastAsia="仿宋_GB2312" w:cs="仿宋_GB2312"/>
          <w:b w:val="0"/>
          <w:bCs w:val="0"/>
          <w:i w:val="0"/>
          <w:iCs w:val="0"/>
          <w:sz w:val="32"/>
          <w:szCs w:val="32"/>
          <w:lang w:val="en-US" w:eastAsia="zh-CN"/>
        </w:rPr>
        <w:t>4.28</w:t>
      </w:r>
      <w:r>
        <w:rPr>
          <w:rFonts w:hint="eastAsia" w:ascii="仿宋_GB2312" w:hAnsi="仿宋_GB2312" w:eastAsia="仿宋_GB2312" w:cs="仿宋_GB2312"/>
          <w:b w:val="0"/>
          <w:bCs w:val="0"/>
          <w:i w:val="0"/>
          <w:iCs w:val="0"/>
          <w:sz w:val="32"/>
          <w:szCs w:val="32"/>
        </w:rPr>
        <w:t>%，主要原因是</w:t>
      </w:r>
      <w:r>
        <w:rPr>
          <w:rFonts w:hint="eastAsia" w:ascii="仿宋_GB2312" w:hAnsi="仿宋_GB2312" w:eastAsia="仿宋_GB2312" w:cs="仿宋_GB2312"/>
          <w:b w:val="0"/>
          <w:bCs w:val="0"/>
          <w:i w:val="0"/>
          <w:iCs w:val="0"/>
          <w:sz w:val="32"/>
          <w:szCs w:val="32"/>
          <w:lang w:eastAsia="zh-CN"/>
        </w:rPr>
        <w:t>：机构改革部门职能转换</w:t>
      </w:r>
      <w:r>
        <w:rPr>
          <w:rFonts w:hint="eastAsia" w:ascii="仿宋_GB2312" w:hAnsi="仿宋_GB2312" w:eastAsia="仿宋_GB2312" w:cs="仿宋_GB2312"/>
          <w:b w:val="0"/>
          <w:bCs w:val="0"/>
          <w:i w:val="0"/>
          <w:i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textAlignment w:val="auto"/>
        <w:outlineLvl w:val="9"/>
        <w:rPr>
          <w:rFonts w:hint="eastAsia" w:ascii="楷体_GB2312" w:hAnsi="楷体_GB2312" w:eastAsia="楷体_GB2312" w:cs="楷体_GB2312"/>
          <w:b/>
          <w:bCs/>
          <w:i w:val="0"/>
          <w:iCs w:val="0"/>
          <w:sz w:val="32"/>
          <w:szCs w:val="32"/>
        </w:rPr>
      </w:pPr>
      <w:r>
        <w:rPr>
          <w:rFonts w:hint="eastAsia" w:ascii="楷体_GB2312" w:hAnsi="楷体_GB2312" w:eastAsia="楷体_GB2312" w:cs="楷体_GB2312"/>
          <w:b/>
          <w:bCs/>
          <w:i w:val="0"/>
          <w:iCs w:val="0"/>
          <w:sz w:val="32"/>
          <w:szCs w:val="32"/>
        </w:rPr>
        <w:t>（二）支出预算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val="0"/>
          <w:bCs w:val="0"/>
          <w:i w:val="0"/>
          <w:iCs w:val="0"/>
          <w:sz w:val="32"/>
          <w:szCs w:val="32"/>
        </w:rPr>
        <w:t>2020年支出预算</w:t>
      </w:r>
      <w:r>
        <w:rPr>
          <w:rFonts w:hint="eastAsia" w:ascii="仿宋_GB2312" w:hAnsi="仿宋_GB2312" w:eastAsia="仿宋_GB2312" w:cs="仿宋_GB2312"/>
          <w:b w:val="0"/>
          <w:bCs w:val="0"/>
          <w:i w:val="0"/>
          <w:iCs w:val="0"/>
          <w:sz w:val="32"/>
          <w:szCs w:val="32"/>
          <w:lang w:val="en-US" w:eastAsia="zh-CN"/>
        </w:rPr>
        <w:t>328.71</w:t>
      </w:r>
      <w:r>
        <w:rPr>
          <w:rFonts w:hint="eastAsia" w:ascii="仿宋_GB2312" w:hAnsi="仿宋_GB2312" w:eastAsia="仿宋_GB2312" w:cs="仿宋_GB2312"/>
          <w:b w:val="0"/>
          <w:bCs w:val="0"/>
          <w:i w:val="0"/>
          <w:iCs w:val="0"/>
          <w:sz w:val="32"/>
          <w:szCs w:val="32"/>
        </w:rPr>
        <w:t>万元，其中：当一般公共预算财政拨款基本支出</w:t>
      </w:r>
      <w:r>
        <w:rPr>
          <w:rFonts w:hint="eastAsia" w:ascii="仿宋_GB2312" w:hAnsi="仿宋_GB2312" w:eastAsia="仿宋_GB2312" w:cs="仿宋_GB2312"/>
          <w:b w:val="0"/>
          <w:bCs w:val="0"/>
          <w:i w:val="0"/>
          <w:iCs w:val="0"/>
          <w:sz w:val="32"/>
          <w:szCs w:val="32"/>
          <w:lang w:val="en-US" w:eastAsia="zh-CN"/>
        </w:rPr>
        <w:t>328.71</w:t>
      </w:r>
      <w:r>
        <w:rPr>
          <w:rFonts w:hint="eastAsia" w:ascii="仿宋_GB2312" w:hAnsi="仿宋_GB2312" w:eastAsia="仿宋_GB2312" w:cs="仿宋_GB2312"/>
          <w:b w:val="0"/>
          <w:bCs w:val="0"/>
          <w:i w:val="0"/>
          <w:iCs w:val="0"/>
          <w:sz w:val="32"/>
          <w:szCs w:val="32"/>
        </w:rPr>
        <w:t>万元，比201</w:t>
      </w:r>
      <w:r>
        <w:rPr>
          <w:rFonts w:hint="eastAsia" w:ascii="仿宋_GB2312" w:hAnsi="仿宋_GB2312" w:eastAsia="仿宋_GB2312" w:cs="仿宋_GB2312"/>
          <w:b w:val="0"/>
          <w:bCs w:val="0"/>
          <w:i w:val="0"/>
          <w:iCs w:val="0"/>
          <w:sz w:val="32"/>
          <w:szCs w:val="32"/>
          <w:lang w:val="en-US" w:eastAsia="zh-CN"/>
        </w:rPr>
        <w:t>9</w:t>
      </w:r>
      <w:r>
        <w:rPr>
          <w:rFonts w:hint="eastAsia" w:ascii="仿宋_GB2312" w:hAnsi="仿宋_GB2312" w:eastAsia="仿宋_GB2312" w:cs="仿宋_GB2312"/>
          <w:b w:val="0"/>
          <w:bCs w:val="0"/>
          <w:i w:val="0"/>
          <w:iCs w:val="0"/>
          <w:sz w:val="32"/>
          <w:szCs w:val="32"/>
        </w:rPr>
        <w:t>年预算</w:t>
      </w:r>
      <w:r>
        <w:rPr>
          <w:rFonts w:hint="eastAsia" w:ascii="仿宋_GB2312" w:hAnsi="仿宋_GB2312" w:eastAsia="仿宋_GB2312" w:cs="仿宋_GB2312"/>
          <w:b w:val="0"/>
          <w:bCs w:val="0"/>
          <w:i w:val="0"/>
          <w:iCs w:val="0"/>
          <w:sz w:val="32"/>
          <w:szCs w:val="32"/>
          <w:lang w:eastAsia="zh-CN"/>
        </w:rPr>
        <w:t>增加</w:t>
      </w:r>
      <w:r>
        <w:rPr>
          <w:rFonts w:hint="eastAsia" w:ascii="仿宋_GB2312" w:hAnsi="仿宋_GB2312" w:eastAsia="仿宋_GB2312" w:cs="仿宋_GB2312"/>
          <w:b w:val="0"/>
          <w:bCs w:val="0"/>
          <w:i w:val="0"/>
          <w:iCs w:val="0"/>
          <w:sz w:val="32"/>
          <w:szCs w:val="32"/>
          <w:lang w:val="en-US" w:eastAsia="zh-CN"/>
        </w:rPr>
        <w:t>14.07</w:t>
      </w:r>
      <w:r>
        <w:rPr>
          <w:rFonts w:hint="eastAsia" w:ascii="仿宋_GB2312" w:hAnsi="仿宋_GB2312" w:eastAsia="仿宋_GB2312" w:cs="仿宋_GB2312"/>
          <w:b w:val="0"/>
          <w:bCs w:val="0"/>
          <w:i w:val="0"/>
          <w:iCs w:val="0"/>
          <w:sz w:val="32"/>
          <w:szCs w:val="32"/>
        </w:rPr>
        <w:t>万元，</w:t>
      </w:r>
      <w:r>
        <w:rPr>
          <w:rFonts w:hint="eastAsia" w:ascii="仿宋_GB2312" w:hAnsi="仿宋_GB2312" w:eastAsia="仿宋_GB2312" w:cs="仿宋_GB2312"/>
          <w:b w:val="0"/>
          <w:bCs w:val="0"/>
          <w:i w:val="0"/>
          <w:iCs w:val="0"/>
          <w:sz w:val="32"/>
          <w:szCs w:val="32"/>
          <w:lang w:eastAsia="zh-CN"/>
        </w:rPr>
        <w:t>增长</w:t>
      </w:r>
      <w:r>
        <w:rPr>
          <w:rFonts w:hint="eastAsia" w:ascii="仿宋_GB2312" w:hAnsi="仿宋_GB2312" w:eastAsia="仿宋_GB2312" w:cs="仿宋_GB2312"/>
          <w:b w:val="0"/>
          <w:bCs w:val="0"/>
          <w:i w:val="0"/>
          <w:iCs w:val="0"/>
          <w:sz w:val="32"/>
          <w:szCs w:val="32"/>
          <w:lang w:val="en-US" w:eastAsia="zh-CN"/>
        </w:rPr>
        <w:t xml:space="preserve">4.28 </w:t>
      </w:r>
      <w:r>
        <w:rPr>
          <w:rFonts w:hint="eastAsia" w:ascii="仿宋_GB2312" w:hAnsi="仿宋_GB2312" w:eastAsia="仿宋_GB2312" w:cs="仿宋_GB2312"/>
          <w:b w:val="0"/>
          <w:bCs w:val="0"/>
          <w:i w:val="0"/>
          <w:iCs w:val="0"/>
          <w:sz w:val="32"/>
          <w:szCs w:val="32"/>
        </w:rPr>
        <w:t>%。主要原因是</w:t>
      </w:r>
      <w:r>
        <w:rPr>
          <w:rFonts w:hint="eastAsia" w:ascii="仿宋_GB2312" w:hAnsi="仿宋_GB2312" w:eastAsia="仿宋_GB2312" w:cs="仿宋_GB2312"/>
          <w:b w:val="0"/>
          <w:bCs w:val="0"/>
          <w:i w:val="0"/>
          <w:iCs w:val="0"/>
          <w:sz w:val="32"/>
          <w:szCs w:val="32"/>
          <w:lang w:eastAsia="zh-CN"/>
        </w:rPr>
        <w:t>：机构改革部门职能划转。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具体为：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1.一般公共服务支出328.71万元，比2019年预算增加14.07元，增长4.28 %，主要原因是：</w:t>
      </w:r>
      <w:r>
        <w:rPr>
          <w:rFonts w:hint="eastAsia" w:ascii="仿宋_GB2312" w:hAnsi="仿宋_GB2312" w:eastAsia="仿宋_GB2312" w:cs="仿宋_GB2312"/>
          <w:b w:val="0"/>
          <w:bCs w:val="0"/>
          <w:i w:val="0"/>
          <w:iCs w:val="0"/>
          <w:sz w:val="32"/>
          <w:szCs w:val="32"/>
          <w:lang w:eastAsia="zh-CN"/>
        </w:rPr>
        <w:t>机构改革部门职能划转。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i w:val="0"/>
          <w:iCs w:val="0"/>
          <w:sz w:val="32"/>
          <w:szCs w:val="32"/>
        </w:rPr>
      </w:pPr>
      <w:r>
        <w:rPr>
          <w:rFonts w:hint="eastAsia" w:ascii="黑体" w:hAnsi="黑体" w:eastAsia="黑体" w:cs="黑体"/>
          <w:b w:val="0"/>
          <w:bCs w:val="0"/>
          <w:i w:val="0"/>
          <w:iCs w:val="0"/>
          <w:sz w:val="32"/>
          <w:szCs w:val="32"/>
        </w:rPr>
        <w:t>四、 一般公共预算情况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2020年一般公共预算支出</w:t>
      </w:r>
      <w:r>
        <w:rPr>
          <w:rFonts w:hint="eastAsia" w:ascii="仿宋_GB2312" w:hAnsi="仿宋_GB2312" w:eastAsia="仿宋_GB2312" w:cs="仿宋_GB2312"/>
          <w:b w:val="0"/>
          <w:bCs w:val="0"/>
          <w:i w:val="0"/>
          <w:iCs w:val="0"/>
          <w:sz w:val="32"/>
          <w:szCs w:val="32"/>
          <w:lang w:val="en-US" w:eastAsia="zh-CN"/>
        </w:rPr>
        <w:t>328.71</w:t>
      </w:r>
      <w:r>
        <w:rPr>
          <w:rFonts w:hint="eastAsia" w:ascii="仿宋_GB2312" w:hAnsi="仿宋_GB2312" w:eastAsia="仿宋_GB2312" w:cs="仿宋_GB2312"/>
          <w:b w:val="0"/>
          <w:bCs w:val="0"/>
          <w:i w:val="0"/>
          <w:iCs w:val="0"/>
          <w:sz w:val="32"/>
          <w:szCs w:val="32"/>
        </w:rPr>
        <w:t>万元，具体安排情况如下：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textAlignment w:val="auto"/>
        <w:outlineLvl w:val="9"/>
        <w:rPr>
          <w:rFonts w:hint="eastAsia" w:ascii="楷体_GB2312" w:hAnsi="楷体_GB2312" w:eastAsia="楷体_GB2312" w:cs="楷体_GB2312"/>
          <w:b/>
          <w:bCs/>
          <w:i w:val="0"/>
          <w:iCs w:val="0"/>
          <w:sz w:val="32"/>
          <w:szCs w:val="32"/>
        </w:rPr>
      </w:pPr>
      <w:r>
        <w:rPr>
          <w:rFonts w:hint="eastAsia" w:ascii="楷体_GB2312" w:hAnsi="楷体_GB2312" w:eastAsia="楷体_GB2312" w:cs="楷体_GB2312"/>
          <w:b/>
          <w:bCs/>
          <w:i w:val="0"/>
          <w:iCs w:val="0"/>
          <w:sz w:val="32"/>
          <w:szCs w:val="32"/>
        </w:rPr>
        <w:t>（一）基本支出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2020年预算基本支出为</w:t>
      </w:r>
      <w:r>
        <w:rPr>
          <w:rFonts w:hint="eastAsia" w:ascii="仿宋_GB2312" w:hAnsi="仿宋_GB2312" w:eastAsia="仿宋_GB2312" w:cs="仿宋_GB2312"/>
          <w:b w:val="0"/>
          <w:bCs w:val="0"/>
          <w:i w:val="0"/>
          <w:iCs w:val="0"/>
          <w:sz w:val="32"/>
          <w:szCs w:val="32"/>
          <w:lang w:val="en-US" w:eastAsia="zh-CN"/>
        </w:rPr>
        <w:t>328.71</w:t>
      </w:r>
      <w:r>
        <w:rPr>
          <w:rFonts w:hint="eastAsia" w:ascii="仿宋_GB2312" w:hAnsi="仿宋_GB2312" w:eastAsia="仿宋_GB2312" w:cs="仿宋_GB2312"/>
          <w:b w:val="0"/>
          <w:bCs w:val="0"/>
          <w:i w:val="0"/>
          <w:iCs w:val="0"/>
          <w:sz w:val="32"/>
          <w:szCs w:val="32"/>
        </w:rPr>
        <w:t>万元，比2019年预算</w:t>
      </w:r>
      <w:r>
        <w:rPr>
          <w:rFonts w:hint="eastAsia" w:ascii="仿宋_GB2312" w:hAnsi="仿宋_GB2312" w:eastAsia="仿宋_GB2312" w:cs="仿宋_GB2312"/>
          <w:b w:val="0"/>
          <w:bCs w:val="0"/>
          <w:i w:val="0"/>
          <w:iCs w:val="0"/>
          <w:sz w:val="32"/>
          <w:szCs w:val="32"/>
          <w:lang w:eastAsia="zh-CN"/>
        </w:rPr>
        <w:t>增加</w:t>
      </w:r>
      <w:r>
        <w:rPr>
          <w:rFonts w:hint="eastAsia" w:ascii="仿宋_GB2312" w:hAnsi="仿宋_GB2312" w:eastAsia="仿宋_GB2312" w:cs="仿宋_GB2312"/>
          <w:b w:val="0"/>
          <w:bCs w:val="0"/>
          <w:i w:val="0"/>
          <w:iCs w:val="0"/>
          <w:sz w:val="32"/>
          <w:szCs w:val="32"/>
          <w:lang w:val="en-US" w:eastAsia="zh-CN"/>
        </w:rPr>
        <w:t xml:space="preserve">14.07 </w:t>
      </w:r>
      <w:r>
        <w:rPr>
          <w:rFonts w:hint="eastAsia" w:ascii="仿宋_GB2312" w:hAnsi="仿宋_GB2312" w:eastAsia="仿宋_GB2312" w:cs="仿宋_GB2312"/>
          <w:b w:val="0"/>
          <w:bCs w:val="0"/>
          <w:i w:val="0"/>
          <w:iCs w:val="0"/>
          <w:sz w:val="32"/>
          <w:szCs w:val="32"/>
        </w:rPr>
        <w:t>万元，</w:t>
      </w:r>
      <w:r>
        <w:rPr>
          <w:rFonts w:hint="eastAsia" w:ascii="仿宋_GB2312" w:hAnsi="仿宋_GB2312" w:eastAsia="仿宋_GB2312" w:cs="仿宋_GB2312"/>
          <w:b w:val="0"/>
          <w:bCs w:val="0"/>
          <w:i w:val="0"/>
          <w:iCs w:val="0"/>
          <w:sz w:val="32"/>
          <w:szCs w:val="32"/>
          <w:lang w:eastAsia="zh-CN"/>
        </w:rPr>
        <w:t>增长</w:t>
      </w:r>
      <w:r>
        <w:rPr>
          <w:rFonts w:hint="eastAsia" w:ascii="仿宋_GB2312" w:hAnsi="仿宋_GB2312" w:eastAsia="仿宋_GB2312" w:cs="仿宋_GB2312"/>
          <w:b w:val="0"/>
          <w:bCs w:val="0"/>
          <w:i w:val="0"/>
          <w:iCs w:val="0"/>
          <w:sz w:val="32"/>
          <w:szCs w:val="32"/>
          <w:lang w:val="en-US" w:eastAsia="zh-CN"/>
        </w:rPr>
        <w:t>4.28</w:t>
      </w:r>
      <w:r>
        <w:rPr>
          <w:rFonts w:hint="eastAsia" w:ascii="仿宋_GB2312" w:hAnsi="仿宋_GB2312" w:eastAsia="仿宋_GB2312" w:cs="仿宋_GB2312"/>
          <w:b w:val="0"/>
          <w:bCs w:val="0"/>
          <w:i w:val="0"/>
          <w:iCs w:val="0"/>
          <w:sz w:val="32"/>
          <w:szCs w:val="32"/>
        </w:rPr>
        <w:t>%，主要原因是</w:t>
      </w:r>
      <w:r>
        <w:rPr>
          <w:rFonts w:hint="eastAsia" w:ascii="仿宋_GB2312" w:hAnsi="仿宋_GB2312" w:eastAsia="仿宋_GB2312" w:cs="仿宋_GB2312"/>
          <w:b w:val="0"/>
          <w:bCs w:val="0"/>
          <w:i w:val="0"/>
          <w:iCs w:val="0"/>
          <w:sz w:val="32"/>
          <w:szCs w:val="32"/>
          <w:lang w:eastAsia="zh-CN"/>
        </w:rPr>
        <w:t>：机构改革部门职能划转。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textAlignment w:val="auto"/>
        <w:outlineLvl w:val="9"/>
        <w:rPr>
          <w:rFonts w:hint="eastAsia" w:ascii="楷体_GB2312" w:hAnsi="楷体_GB2312" w:eastAsia="楷体_GB2312" w:cs="楷体_GB2312"/>
          <w:b/>
          <w:bCs/>
          <w:i w:val="0"/>
          <w:iCs w:val="0"/>
          <w:sz w:val="32"/>
          <w:szCs w:val="32"/>
        </w:rPr>
      </w:pPr>
      <w:r>
        <w:rPr>
          <w:rFonts w:hint="eastAsia" w:ascii="楷体_GB2312" w:hAnsi="楷体_GB2312" w:eastAsia="楷体_GB2312" w:cs="楷体_GB2312"/>
          <w:b/>
          <w:bCs/>
          <w:i w:val="0"/>
          <w:iCs w:val="0"/>
          <w:sz w:val="32"/>
          <w:szCs w:val="32"/>
        </w:rPr>
        <w:t>（二）项目支出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lang w:val="en-US" w:eastAsia="zh-CN"/>
        </w:rPr>
        <w:t>2020年无</w:t>
      </w:r>
      <w:r>
        <w:rPr>
          <w:rFonts w:hint="eastAsia" w:ascii="仿宋_GB2312" w:hAnsi="仿宋_GB2312" w:eastAsia="仿宋_GB2312" w:cs="仿宋_GB2312"/>
          <w:b w:val="0"/>
          <w:bCs w:val="0"/>
          <w:i w:val="0"/>
          <w:iCs w:val="0"/>
          <w:sz w:val="32"/>
          <w:szCs w:val="32"/>
          <w:lang w:eastAsia="zh-CN"/>
        </w:rPr>
        <w:t>项目支出</w:t>
      </w:r>
      <w:r>
        <w:rPr>
          <w:rFonts w:hint="eastAsia" w:ascii="仿宋_GB2312" w:hAnsi="仿宋_GB2312" w:eastAsia="仿宋_GB2312" w:cs="仿宋_GB2312"/>
          <w:b w:val="0"/>
          <w:bCs w:val="0"/>
          <w:i w:val="0"/>
          <w:i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i w:val="0"/>
          <w:iCs w:val="0"/>
          <w:sz w:val="32"/>
          <w:szCs w:val="32"/>
          <w:lang w:eastAsia="zh-CN"/>
        </w:rPr>
      </w:pPr>
      <w:r>
        <w:rPr>
          <w:rFonts w:hint="eastAsia" w:ascii="黑体" w:hAnsi="黑体" w:eastAsia="黑体" w:cs="黑体"/>
          <w:b w:val="0"/>
          <w:bCs w:val="0"/>
          <w:i w:val="0"/>
          <w:iCs w:val="0"/>
          <w:sz w:val="32"/>
          <w:szCs w:val="32"/>
          <w:lang w:eastAsia="zh-CN"/>
        </w:rPr>
        <w:t>五、 部门“三公”经费、培训费、会议费等财政拨款情况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bCs/>
          <w:i w:val="0"/>
          <w:iCs w:val="0"/>
          <w:sz w:val="32"/>
          <w:szCs w:val="32"/>
          <w:lang w:eastAsia="zh-CN"/>
        </w:rPr>
        <w:t>（一）因公出国（境）</w:t>
      </w:r>
      <w:r>
        <w:rPr>
          <w:rFonts w:hint="eastAsia" w:ascii="仿宋_GB2312" w:hAnsi="仿宋_GB2312" w:eastAsia="仿宋_GB2312" w:cs="仿宋_GB2312"/>
          <w:b w:val="0"/>
          <w:bCs w:val="0"/>
          <w:i w:val="0"/>
          <w:iCs w:val="0"/>
          <w:sz w:val="32"/>
          <w:szCs w:val="32"/>
          <w:lang w:eastAsia="zh-CN"/>
        </w:rPr>
        <w:t>费用</w:t>
      </w:r>
      <w:r>
        <w:rPr>
          <w:rFonts w:hint="eastAsia" w:ascii="仿宋_GB2312" w:hAnsi="仿宋_GB2312" w:eastAsia="仿宋_GB2312" w:cs="仿宋_GB2312"/>
          <w:b w:val="0"/>
          <w:bCs w:val="0"/>
          <w:i w:val="0"/>
          <w:iCs w:val="0"/>
          <w:sz w:val="32"/>
          <w:szCs w:val="32"/>
          <w:lang w:val="en-US" w:eastAsia="zh-CN"/>
        </w:rPr>
        <w:t>0</w:t>
      </w:r>
      <w:r>
        <w:rPr>
          <w:rFonts w:hint="eastAsia" w:ascii="仿宋_GB2312" w:hAnsi="仿宋_GB2312" w:eastAsia="仿宋_GB2312" w:cs="仿宋_GB2312"/>
          <w:b w:val="0"/>
          <w:bCs w:val="0"/>
          <w:i w:val="0"/>
          <w:iCs w:val="0"/>
          <w:sz w:val="32"/>
          <w:szCs w:val="32"/>
          <w:lang w:eastAsia="zh-CN"/>
        </w:rPr>
        <w:t>万元，与</w:t>
      </w:r>
      <w:r>
        <w:rPr>
          <w:rFonts w:hint="eastAsia" w:ascii="仿宋_GB2312" w:hAnsi="仿宋_GB2312" w:eastAsia="仿宋_GB2312" w:cs="仿宋_GB2312"/>
          <w:b w:val="0"/>
          <w:bCs w:val="0"/>
          <w:i w:val="0"/>
          <w:iCs w:val="0"/>
          <w:sz w:val="32"/>
          <w:szCs w:val="32"/>
          <w:lang w:val="en-US" w:eastAsia="zh-CN"/>
        </w:rPr>
        <w:t>2019年持平。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bCs/>
          <w:i w:val="0"/>
          <w:iCs w:val="0"/>
          <w:sz w:val="32"/>
          <w:szCs w:val="32"/>
          <w:lang w:eastAsia="zh-CN"/>
        </w:rPr>
        <w:t>（二）公务接待费</w:t>
      </w:r>
      <w:r>
        <w:rPr>
          <w:rFonts w:hint="eastAsia" w:ascii="仿宋_GB2312" w:hAnsi="仿宋_GB2312" w:eastAsia="仿宋_GB2312" w:cs="仿宋_GB2312"/>
          <w:b w:val="0"/>
          <w:bCs w:val="0"/>
          <w:i w:val="0"/>
          <w:iCs w:val="0"/>
          <w:sz w:val="32"/>
          <w:szCs w:val="32"/>
          <w:lang w:val="en-US" w:eastAsia="zh-CN"/>
        </w:rPr>
        <w:t>1.5</w:t>
      </w:r>
      <w:r>
        <w:rPr>
          <w:rFonts w:hint="eastAsia" w:ascii="仿宋_GB2312" w:hAnsi="仿宋_GB2312" w:eastAsia="仿宋_GB2312" w:cs="仿宋_GB2312"/>
          <w:b w:val="0"/>
          <w:bCs w:val="0"/>
          <w:i w:val="0"/>
          <w:iCs w:val="0"/>
          <w:sz w:val="32"/>
          <w:szCs w:val="32"/>
          <w:lang w:eastAsia="zh-CN"/>
        </w:rPr>
        <w:t>万元，与2019年预算相同，预计国内公务接待</w:t>
      </w:r>
      <w:r>
        <w:rPr>
          <w:rFonts w:hint="eastAsia" w:ascii="仿宋_GB2312" w:hAnsi="仿宋_GB2312" w:eastAsia="仿宋_GB2312" w:cs="仿宋_GB2312"/>
          <w:b w:val="0"/>
          <w:bCs w:val="0"/>
          <w:i w:val="0"/>
          <w:iCs w:val="0"/>
          <w:sz w:val="32"/>
          <w:szCs w:val="32"/>
          <w:lang w:val="en-US" w:eastAsia="zh-CN"/>
        </w:rPr>
        <w:t>30</w:t>
      </w:r>
      <w:r>
        <w:rPr>
          <w:rFonts w:hint="eastAsia" w:ascii="仿宋_GB2312" w:hAnsi="仿宋_GB2312" w:eastAsia="仿宋_GB2312" w:cs="仿宋_GB2312"/>
          <w:b w:val="0"/>
          <w:bCs w:val="0"/>
          <w:i w:val="0"/>
          <w:iCs w:val="0"/>
          <w:sz w:val="32"/>
          <w:szCs w:val="32"/>
          <w:lang w:eastAsia="zh-CN"/>
        </w:rPr>
        <w:t>批次、</w:t>
      </w:r>
      <w:r>
        <w:rPr>
          <w:rFonts w:hint="eastAsia" w:ascii="仿宋_GB2312" w:hAnsi="仿宋_GB2312" w:eastAsia="仿宋_GB2312" w:cs="仿宋_GB2312"/>
          <w:b w:val="0"/>
          <w:bCs w:val="0"/>
          <w:i w:val="0"/>
          <w:iCs w:val="0"/>
          <w:sz w:val="32"/>
          <w:szCs w:val="32"/>
          <w:lang w:val="en-US" w:eastAsia="zh-CN"/>
        </w:rPr>
        <w:t>150</w:t>
      </w:r>
      <w:r>
        <w:rPr>
          <w:rFonts w:hint="eastAsia" w:ascii="仿宋_GB2312" w:hAnsi="仿宋_GB2312" w:eastAsia="仿宋_GB2312" w:cs="仿宋_GB2312"/>
          <w:b w:val="0"/>
          <w:bCs w:val="0"/>
          <w:i w:val="0"/>
          <w:iCs w:val="0"/>
          <w:sz w:val="32"/>
          <w:szCs w:val="32"/>
          <w:lang w:eastAsia="zh-CN"/>
        </w:rPr>
        <w:t>人次。</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i w:val="0"/>
          <w:iCs w:val="0"/>
          <w:sz w:val="32"/>
          <w:szCs w:val="32"/>
          <w:lang w:eastAsia="zh-CN"/>
        </w:rPr>
        <w:t>（三）</w:t>
      </w:r>
      <w:r>
        <w:rPr>
          <w:rFonts w:hint="eastAsia" w:ascii="仿宋_GB2312" w:hAnsi="仿宋_GB2312" w:eastAsia="仿宋_GB2312" w:cs="仿宋_GB2312"/>
          <w:b/>
          <w:bCs/>
          <w:sz w:val="32"/>
          <w:szCs w:val="32"/>
        </w:rPr>
        <w:t>公务用车购置及运行维护费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万元（其中：公务用车购置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bCs/>
          <w:i w:val="0"/>
          <w:iCs w:val="0"/>
          <w:sz w:val="32"/>
          <w:szCs w:val="32"/>
          <w:lang w:eastAsia="zh-CN"/>
        </w:rPr>
        <w:t>（四）培训费</w:t>
      </w:r>
      <w:r>
        <w:rPr>
          <w:rFonts w:hint="eastAsia" w:ascii="仿宋_GB2312" w:hAnsi="仿宋_GB2312" w:eastAsia="仿宋_GB2312" w:cs="仿宋_GB2312"/>
          <w:b/>
          <w:bCs/>
          <w:i w:val="0"/>
          <w:iCs w:val="0"/>
          <w:sz w:val="32"/>
          <w:szCs w:val="32"/>
          <w:lang w:val="en-US" w:eastAsia="zh-CN"/>
        </w:rPr>
        <w:t>3</w:t>
      </w:r>
      <w:r>
        <w:rPr>
          <w:rFonts w:hint="eastAsia" w:ascii="仿宋_GB2312" w:hAnsi="仿宋_GB2312" w:eastAsia="仿宋_GB2312" w:cs="仿宋_GB2312"/>
          <w:b w:val="0"/>
          <w:bCs w:val="0"/>
          <w:i w:val="0"/>
          <w:iCs w:val="0"/>
          <w:sz w:val="32"/>
          <w:szCs w:val="32"/>
          <w:lang w:eastAsia="zh-CN"/>
        </w:rPr>
        <w:t>万元，比2019年预算增加</w:t>
      </w:r>
      <w:r>
        <w:rPr>
          <w:rFonts w:hint="eastAsia" w:ascii="仿宋_GB2312" w:hAnsi="仿宋_GB2312" w:eastAsia="仿宋_GB2312" w:cs="仿宋_GB2312"/>
          <w:b w:val="0"/>
          <w:bCs w:val="0"/>
          <w:i w:val="0"/>
          <w:iCs w:val="0"/>
          <w:sz w:val="32"/>
          <w:szCs w:val="32"/>
          <w:lang w:val="en-US" w:eastAsia="zh-CN"/>
        </w:rPr>
        <w:t>0</w:t>
      </w:r>
      <w:r>
        <w:rPr>
          <w:rFonts w:hint="eastAsia" w:ascii="仿宋_GB2312" w:hAnsi="仿宋_GB2312" w:eastAsia="仿宋_GB2312" w:cs="仿宋_GB2312"/>
          <w:b w:val="0"/>
          <w:bCs w:val="0"/>
          <w:i w:val="0"/>
          <w:iCs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bCs/>
          <w:i w:val="0"/>
          <w:iCs w:val="0"/>
          <w:sz w:val="32"/>
          <w:szCs w:val="32"/>
          <w:lang w:eastAsia="zh-CN"/>
        </w:rPr>
        <w:t>（五）会议</w:t>
      </w:r>
      <w:r>
        <w:rPr>
          <w:rFonts w:hint="eastAsia" w:ascii="仿宋_GB2312" w:hAnsi="仿宋_GB2312" w:eastAsia="仿宋_GB2312" w:cs="仿宋_GB2312"/>
          <w:b/>
          <w:bCs/>
          <w:i w:val="0"/>
          <w:iCs w:val="0"/>
          <w:sz w:val="32"/>
          <w:szCs w:val="32"/>
          <w:lang w:val="en-US" w:eastAsia="zh-CN"/>
        </w:rPr>
        <w:t>费</w:t>
      </w:r>
      <w:r>
        <w:rPr>
          <w:rFonts w:hint="eastAsia" w:ascii="仿宋_GB2312" w:hAnsi="仿宋_GB2312" w:eastAsia="仿宋_GB2312" w:cs="仿宋_GB2312"/>
          <w:b w:val="0"/>
          <w:bCs w:val="0"/>
          <w:i w:val="0"/>
          <w:iCs w:val="0"/>
          <w:sz w:val="32"/>
          <w:szCs w:val="32"/>
          <w:lang w:val="en-US" w:eastAsia="zh-CN"/>
        </w:rPr>
        <w:t xml:space="preserve">0 </w:t>
      </w:r>
      <w:r>
        <w:rPr>
          <w:rFonts w:hint="eastAsia" w:ascii="仿宋_GB2312" w:hAnsi="仿宋_GB2312" w:eastAsia="仿宋_GB2312" w:cs="仿宋_GB2312"/>
          <w:b w:val="0"/>
          <w:bCs w:val="0"/>
          <w:i w:val="0"/>
          <w:iCs w:val="0"/>
          <w:sz w:val="32"/>
          <w:szCs w:val="32"/>
          <w:lang w:eastAsia="zh-CN"/>
        </w:rPr>
        <w:t>万元，比2019年预算减少</w:t>
      </w:r>
      <w:r>
        <w:rPr>
          <w:rFonts w:hint="eastAsia" w:ascii="仿宋_GB2312" w:hAnsi="仿宋_GB2312" w:eastAsia="仿宋_GB2312" w:cs="仿宋_GB2312"/>
          <w:b w:val="0"/>
          <w:bCs w:val="0"/>
          <w:i w:val="0"/>
          <w:iCs w:val="0"/>
          <w:sz w:val="32"/>
          <w:szCs w:val="32"/>
          <w:lang w:val="en-US" w:eastAsia="zh-CN"/>
        </w:rPr>
        <w:t>0</w:t>
      </w:r>
      <w:r>
        <w:rPr>
          <w:rFonts w:hint="eastAsia" w:ascii="仿宋_GB2312" w:hAnsi="仿宋_GB2312" w:eastAsia="仿宋_GB2312" w:cs="仿宋_GB2312"/>
          <w:b w:val="0"/>
          <w:bCs w:val="0"/>
          <w:i w:val="0"/>
          <w:iCs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279" w:leftChars="133" w:right="0" w:rightChars="0" w:firstLine="321" w:firstLineChars="100"/>
        <w:textAlignment w:val="auto"/>
        <w:outlineLvl w:val="9"/>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bCs/>
          <w:i w:val="0"/>
          <w:iCs w:val="0"/>
          <w:sz w:val="32"/>
          <w:szCs w:val="32"/>
          <w:lang w:eastAsia="zh-CN"/>
        </w:rPr>
        <w:t>（六）一般公共预算机关运行经费</w:t>
      </w:r>
      <w:r>
        <w:rPr>
          <w:rFonts w:hint="eastAsia" w:ascii="仿宋_GB2312" w:hAnsi="仿宋_GB2312" w:eastAsia="仿宋_GB2312" w:cs="仿宋_GB2312"/>
          <w:b w:val="0"/>
          <w:bCs w:val="0"/>
          <w:i w:val="0"/>
          <w:iCs w:val="0"/>
          <w:sz w:val="32"/>
          <w:szCs w:val="32"/>
          <w:lang w:val="en-US" w:eastAsia="zh-CN"/>
        </w:rPr>
        <w:t>47.3</w:t>
      </w:r>
      <w:r>
        <w:rPr>
          <w:rFonts w:hint="eastAsia" w:ascii="仿宋_GB2312" w:hAnsi="仿宋_GB2312" w:eastAsia="仿宋_GB2312" w:cs="仿宋_GB2312"/>
          <w:b w:val="0"/>
          <w:bCs w:val="0"/>
          <w:i w:val="0"/>
          <w:iCs w:val="0"/>
          <w:sz w:val="32"/>
          <w:szCs w:val="32"/>
          <w:lang w:eastAsia="zh-CN"/>
        </w:rPr>
        <w:t>万元，比2019年预算减少</w:t>
      </w:r>
      <w:r>
        <w:rPr>
          <w:rFonts w:hint="eastAsia" w:ascii="仿宋_GB2312" w:hAnsi="仿宋_GB2312" w:eastAsia="仿宋_GB2312" w:cs="仿宋_GB2312"/>
          <w:b w:val="0"/>
          <w:bCs w:val="0"/>
          <w:i w:val="0"/>
          <w:iCs w:val="0"/>
          <w:sz w:val="32"/>
          <w:szCs w:val="32"/>
          <w:lang w:val="en-US" w:eastAsia="zh-CN"/>
        </w:rPr>
        <w:t>0</w:t>
      </w:r>
      <w:r>
        <w:rPr>
          <w:rFonts w:hint="eastAsia" w:ascii="仿宋_GB2312" w:hAnsi="仿宋_GB2312" w:eastAsia="仿宋_GB2312" w:cs="仿宋_GB2312"/>
          <w:b w:val="0"/>
          <w:bCs w:val="0"/>
          <w:i w:val="0"/>
          <w:iCs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i w:val="0"/>
          <w:iCs w:val="0"/>
          <w:sz w:val="32"/>
          <w:szCs w:val="32"/>
          <w:lang w:eastAsia="zh-CN"/>
        </w:rPr>
      </w:pPr>
      <w:r>
        <w:rPr>
          <w:rFonts w:hint="eastAsia" w:ascii="黑体" w:hAnsi="黑体" w:eastAsia="黑体" w:cs="黑体"/>
          <w:b w:val="0"/>
          <w:bCs w:val="0"/>
          <w:i w:val="0"/>
          <w:iCs w:val="0"/>
          <w:sz w:val="32"/>
          <w:szCs w:val="32"/>
          <w:lang w:eastAsia="zh-CN"/>
        </w:rPr>
        <w:t>六、 其他重要事项情况说明</w:t>
      </w:r>
    </w:p>
    <w:p>
      <w:pPr>
        <w:keepNext w:val="0"/>
        <w:keepLines w:val="0"/>
        <w:pageBreakBefore w:val="0"/>
        <w:widowControl w:val="0"/>
        <w:kinsoku/>
        <w:wordWrap/>
        <w:overflowPunct/>
        <w:topLinePunct w:val="0"/>
        <w:autoSpaceDE/>
        <w:autoSpaceDN/>
        <w:bidi w:val="0"/>
        <w:adjustRightInd/>
        <w:snapToGrid/>
        <w:spacing w:line="600" w:lineRule="exact"/>
        <w:ind w:left="279" w:leftChars="133" w:right="0" w:rightChars="0" w:firstLine="321" w:firstLineChars="100"/>
        <w:textAlignment w:val="auto"/>
        <w:outlineLvl w:val="9"/>
        <w:rPr>
          <w:rFonts w:hint="eastAsia" w:ascii="楷体_GB2312" w:hAnsi="楷体_GB2312" w:eastAsia="楷体_GB2312" w:cs="楷体_GB2312"/>
          <w:b/>
          <w:bCs/>
          <w:i w:val="0"/>
          <w:iCs w:val="0"/>
          <w:sz w:val="32"/>
          <w:szCs w:val="32"/>
          <w:lang w:eastAsia="zh-CN"/>
        </w:rPr>
      </w:pPr>
      <w:r>
        <w:rPr>
          <w:rFonts w:hint="eastAsia" w:ascii="楷体_GB2312" w:hAnsi="楷体_GB2312" w:eastAsia="楷体_GB2312" w:cs="楷体_GB2312"/>
          <w:b/>
          <w:bCs/>
          <w:i w:val="0"/>
          <w:iCs w:val="0"/>
          <w:sz w:val="32"/>
          <w:szCs w:val="32"/>
          <w:lang w:eastAsia="zh-CN"/>
        </w:rPr>
        <w:t>（一）政府性基金预算支出情况</w:t>
      </w:r>
    </w:p>
    <w:p>
      <w:pPr>
        <w:keepNext w:val="0"/>
        <w:keepLines w:val="0"/>
        <w:pageBreakBefore w:val="0"/>
        <w:widowControl w:val="0"/>
        <w:kinsoku/>
        <w:wordWrap/>
        <w:overflowPunct/>
        <w:topLinePunct w:val="0"/>
        <w:autoSpaceDE/>
        <w:autoSpaceDN/>
        <w:bidi w:val="0"/>
        <w:adjustRightInd/>
        <w:snapToGrid/>
        <w:spacing w:line="600" w:lineRule="exact"/>
        <w:ind w:left="279" w:leftChars="133" w:right="0" w:rightChars="0" w:firstLine="320" w:firstLineChars="100"/>
        <w:textAlignment w:val="auto"/>
        <w:outlineLvl w:val="9"/>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val="0"/>
          <w:bCs w:val="0"/>
          <w:i w:val="0"/>
          <w:iCs w:val="0"/>
          <w:sz w:val="32"/>
          <w:szCs w:val="32"/>
          <w:lang w:eastAsia="zh-CN"/>
        </w:rPr>
        <w:t>2020年政府性基金预算拨款安排支出</w:t>
      </w:r>
      <w:r>
        <w:rPr>
          <w:rFonts w:hint="eastAsia" w:ascii="仿宋_GB2312" w:hAnsi="仿宋_GB2312" w:eastAsia="仿宋_GB2312" w:cs="仿宋_GB2312"/>
          <w:b w:val="0"/>
          <w:bCs w:val="0"/>
          <w:i w:val="0"/>
          <w:iCs w:val="0"/>
          <w:sz w:val="32"/>
          <w:szCs w:val="32"/>
          <w:lang w:val="en-US" w:eastAsia="zh-CN"/>
        </w:rPr>
        <w:t>0万元</w:t>
      </w:r>
      <w:bookmarkStart w:id="0" w:name="_GoBack"/>
      <w:bookmarkEnd w:id="0"/>
      <w:r>
        <w:rPr>
          <w:rFonts w:hint="eastAsia" w:ascii="仿宋_GB2312" w:hAnsi="仿宋_GB2312" w:eastAsia="仿宋_GB2312" w:cs="仿宋_GB2312"/>
          <w:b w:val="0"/>
          <w:bCs w:val="0"/>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279" w:leftChars="133" w:right="0" w:rightChars="0" w:firstLine="321" w:firstLineChars="100"/>
        <w:textAlignment w:val="auto"/>
        <w:outlineLvl w:val="9"/>
        <w:rPr>
          <w:rFonts w:hint="eastAsia" w:ascii="楷体_GB2312" w:hAnsi="楷体_GB2312" w:eastAsia="楷体_GB2312" w:cs="楷体_GB2312"/>
          <w:b/>
          <w:bCs/>
          <w:i w:val="0"/>
          <w:iCs w:val="0"/>
          <w:sz w:val="32"/>
          <w:szCs w:val="32"/>
          <w:lang w:eastAsia="zh-CN"/>
        </w:rPr>
      </w:pPr>
      <w:r>
        <w:rPr>
          <w:rFonts w:hint="eastAsia" w:ascii="楷体_GB2312" w:hAnsi="楷体_GB2312" w:eastAsia="楷体_GB2312" w:cs="楷体_GB2312"/>
          <w:b/>
          <w:bCs/>
          <w:i w:val="0"/>
          <w:iCs w:val="0"/>
          <w:sz w:val="32"/>
          <w:szCs w:val="32"/>
          <w:lang w:eastAsia="zh-CN"/>
        </w:rPr>
        <w:t>（二）非税收入情况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2020年本部门共有0个单位涉及非税收入，2020年计划征收   0万元。</w:t>
      </w:r>
    </w:p>
    <w:p>
      <w:pPr>
        <w:keepNext w:val="0"/>
        <w:keepLines w:val="0"/>
        <w:pageBreakBefore w:val="0"/>
        <w:widowControl w:val="0"/>
        <w:kinsoku/>
        <w:wordWrap/>
        <w:overflowPunct/>
        <w:topLinePunct w:val="0"/>
        <w:autoSpaceDE/>
        <w:autoSpaceDN/>
        <w:bidi w:val="0"/>
        <w:adjustRightInd/>
        <w:snapToGrid/>
        <w:spacing w:line="600" w:lineRule="exact"/>
        <w:ind w:left="279" w:leftChars="133" w:right="0" w:rightChars="0" w:firstLine="321" w:firstLineChars="100"/>
        <w:textAlignment w:val="auto"/>
        <w:outlineLvl w:val="9"/>
        <w:rPr>
          <w:rFonts w:hint="eastAsia" w:ascii="楷体_GB2312" w:hAnsi="楷体_GB2312" w:eastAsia="楷体_GB2312" w:cs="楷体_GB2312"/>
          <w:b/>
          <w:bCs/>
          <w:i w:val="0"/>
          <w:iCs w:val="0"/>
          <w:sz w:val="32"/>
          <w:szCs w:val="32"/>
          <w:lang w:eastAsia="zh-CN"/>
        </w:rPr>
      </w:pPr>
      <w:r>
        <w:rPr>
          <w:rFonts w:hint="eastAsia" w:ascii="楷体_GB2312" w:hAnsi="楷体_GB2312" w:eastAsia="楷体_GB2312" w:cs="楷体_GB2312"/>
          <w:b/>
          <w:bCs/>
          <w:i w:val="0"/>
          <w:iCs w:val="0"/>
          <w:sz w:val="32"/>
          <w:szCs w:val="32"/>
          <w:lang w:eastAsia="zh-CN"/>
        </w:rPr>
        <w:t>（三）政府采购情况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2020年本部门政府采购预算总额15.48万元，其中：政府采购货物预算15.48万元，政府采购工程预算0万元,政府采购服务0万元。</w:t>
      </w:r>
    </w:p>
    <w:p>
      <w:pPr>
        <w:keepNext w:val="0"/>
        <w:keepLines w:val="0"/>
        <w:pageBreakBefore w:val="0"/>
        <w:widowControl w:val="0"/>
        <w:kinsoku/>
        <w:wordWrap/>
        <w:overflowPunct/>
        <w:topLinePunct w:val="0"/>
        <w:autoSpaceDE/>
        <w:autoSpaceDN/>
        <w:bidi w:val="0"/>
        <w:adjustRightInd/>
        <w:snapToGrid/>
        <w:spacing w:line="600" w:lineRule="exact"/>
        <w:ind w:left="279" w:leftChars="133" w:right="0" w:rightChars="0" w:firstLine="321" w:firstLineChars="100"/>
        <w:textAlignment w:val="auto"/>
        <w:outlineLvl w:val="9"/>
        <w:rPr>
          <w:rFonts w:hint="eastAsia" w:ascii="楷体_GB2312" w:hAnsi="楷体_GB2312" w:eastAsia="楷体_GB2312" w:cs="楷体_GB2312"/>
          <w:b/>
          <w:bCs/>
          <w:i w:val="0"/>
          <w:iCs w:val="0"/>
          <w:sz w:val="32"/>
          <w:szCs w:val="32"/>
          <w:lang w:eastAsia="zh-CN"/>
        </w:rPr>
      </w:pPr>
      <w:r>
        <w:rPr>
          <w:rFonts w:hint="eastAsia" w:ascii="楷体_GB2312" w:hAnsi="楷体_GB2312" w:eastAsia="楷体_GB2312" w:cs="楷体_GB2312"/>
          <w:b/>
          <w:bCs/>
          <w:i w:val="0"/>
          <w:iCs w:val="0"/>
          <w:sz w:val="32"/>
          <w:szCs w:val="32"/>
          <w:lang w:eastAsia="zh-CN"/>
        </w:rPr>
        <w:t>（四）国有资产占用情况</w:t>
      </w:r>
    </w:p>
    <w:p>
      <w:pPr>
        <w:keepNext w:val="0"/>
        <w:keepLines w:val="0"/>
        <w:pageBreakBefore w:val="0"/>
        <w:widowControl w:val="0"/>
        <w:kinsoku/>
        <w:wordWrap/>
        <w:overflowPunct/>
        <w:topLinePunct w:val="0"/>
        <w:autoSpaceDE/>
        <w:autoSpaceDN/>
        <w:bidi w:val="0"/>
        <w:adjustRightInd/>
        <w:snapToGrid/>
        <w:spacing w:line="600" w:lineRule="exact"/>
        <w:ind w:left="279" w:leftChars="133" w:right="0" w:rightChars="0" w:firstLine="320" w:firstLineChars="1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上年末固定资产金额为95.07万元。其中:办公用房918平方米，价值0万元(办公用房资产属机关事务中心所有）。部门及所属预算单位共有公务用2辆，价值46.38万元。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lang w:val="en-US" w:eastAsia="zh-CN"/>
        </w:rPr>
        <w:t>20</w:t>
      </w:r>
      <w:r>
        <w:rPr>
          <w:rFonts w:hint="eastAsia" w:ascii="仿宋_GB2312" w:hAnsi="仿宋_GB2312" w:eastAsia="仿宋_GB2312" w:cs="仿宋_GB2312"/>
          <w:b w:val="0"/>
          <w:bCs w:val="0"/>
          <w:i w:val="0"/>
          <w:iCs w:val="0"/>
          <w:sz w:val="32"/>
          <w:szCs w:val="32"/>
        </w:rPr>
        <w:t>年拟采购固定资产约</w:t>
      </w:r>
      <w:r>
        <w:rPr>
          <w:rFonts w:hint="eastAsia" w:ascii="仿宋_GB2312" w:hAnsi="仿宋_GB2312" w:eastAsia="仿宋_GB2312" w:cs="仿宋_GB2312"/>
          <w:b w:val="0"/>
          <w:bCs w:val="0"/>
          <w:i w:val="0"/>
          <w:iCs w:val="0"/>
          <w:sz w:val="32"/>
          <w:szCs w:val="32"/>
          <w:lang w:val="en-US" w:eastAsia="zh-CN"/>
        </w:rPr>
        <w:t>15.48</w:t>
      </w:r>
      <w:r>
        <w:rPr>
          <w:rFonts w:hint="eastAsia" w:ascii="仿宋_GB2312" w:hAnsi="仿宋_GB2312" w:eastAsia="仿宋_GB2312" w:cs="仿宋_GB2312"/>
          <w:b w:val="0"/>
          <w:bCs w:val="0"/>
          <w:i w:val="0"/>
          <w:iCs w:val="0"/>
          <w:sz w:val="32"/>
          <w:szCs w:val="32"/>
        </w:rPr>
        <w:t>万元，主要包括</w:t>
      </w:r>
      <w:r>
        <w:rPr>
          <w:rFonts w:hint="eastAsia" w:ascii="仿宋_GB2312" w:hAnsi="仿宋_GB2312" w:eastAsia="仿宋_GB2312" w:cs="仿宋_GB2312"/>
          <w:b w:val="0"/>
          <w:bCs w:val="0"/>
          <w:i w:val="0"/>
          <w:iCs w:val="0"/>
          <w:sz w:val="32"/>
          <w:szCs w:val="32"/>
          <w:lang w:eastAsia="zh-CN"/>
        </w:rPr>
        <w:t>：笔记本电脑、台式电脑、激光打印机、电脑耗材、办公用品等。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i w:val="0"/>
          <w:iCs w:val="0"/>
          <w:sz w:val="32"/>
          <w:szCs w:val="32"/>
          <w:lang w:eastAsia="zh-CN"/>
        </w:rPr>
      </w:pPr>
      <w:r>
        <w:rPr>
          <w:rFonts w:hint="eastAsia" w:ascii="黑体" w:hAnsi="黑体" w:eastAsia="黑体" w:cs="黑体"/>
          <w:b w:val="0"/>
          <w:bCs w:val="0"/>
          <w:i w:val="0"/>
          <w:iCs w:val="0"/>
          <w:sz w:val="32"/>
          <w:szCs w:val="32"/>
          <w:lang w:eastAsia="zh-CN"/>
        </w:rPr>
        <w:t>七、 预算绩效管理情况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val="0"/>
          <w:bCs w:val="0"/>
          <w:i w:val="0"/>
          <w:iCs w:val="0"/>
          <w:sz w:val="32"/>
          <w:szCs w:val="32"/>
          <w:lang w:eastAsia="zh-CN"/>
        </w:rPr>
        <w:t>本部门在预算执行中对各项目绩效目标运行情况定期进行跟踪管理和监督检查，掌握绩效目标进展、资金支出进度、项目实施情况等，及时对预算资金的产出和结果进行绩效自评，重点评价产出和结果的经济性、效率性、效益性及绩效目标的实现程度等，并将其中的重点监控项目绩效目标运行情况及时报送财政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val="en-US" w:eastAsia="zh-CN"/>
        </w:rPr>
        <w:t>八、名词解释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财政拨款：指财政当年拨付的资金。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经济分类：按支出的经济性质和具体用途所作的一种分类。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商品和服务支出：反映单位购买商品和服务的支出，不包括用于购置固定资产的支出、战略性和应急储备支出。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对个人和家庭的补助：反映政府用于对个人和家庭的补助支出。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基本支出：反映单位为保障机构正常运转和完成日常工作任务发生的支出，包括人员支出和公用支出。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项目支出：反映单位为完成特定的工作任务，在基本支出之外发生的支出。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奖金：反映按规定发放的奖金，包括机关工作人员年终一次性奖金等。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绩效工资：反映事业单位工作人员的绩效工资。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维修（护）费：反映单位日常开支的固定资产（不包括车船等交通工具）修理和维护费用，网络信息系统运行与维护费用，以及按规定提取的修购基金。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会议费：反映单位在会议期间按规定开支的住宿费、伙食费、会议室租金、交通费、文件印刷费、医药费等。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培训费：反映除因公出国（境）培训费以外的，在培训期间发生的师资费、住宿费、伙食费、培训场地费、培训资料费、交通费等各类培训支出。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因公出国（境）费：反映单位公务出国（境）的国际旅费、国外城市间交通费、住宿费、伙食费、培训费、公杂费等支出。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公务用车：指用于履行公务的机动车辆，包括省部级干部专车、一般公务用车和执勤执法用车。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公务用车购置费：反映公务用车车辆购置支出（含车辆购置税）。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公务用车运行维护费：反映单位按规定保留的公务用车租用费、燃料费、维修费、过路过桥费、保险费、安全奖励费用等支出。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其他交通费用：反映单位除公务用车运行维护费以外的其他交通费用。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附件：20</w:t>
      </w:r>
      <w:r>
        <w:rPr>
          <w:rFonts w:hint="eastAsia" w:ascii="仿宋_GB2312" w:hAnsi="仿宋_GB2312" w:eastAsia="仿宋_GB2312" w:cs="仿宋_GB2312"/>
          <w:b w:val="0"/>
          <w:bCs w:val="0"/>
          <w:i w:val="0"/>
          <w:iCs w:val="0"/>
          <w:sz w:val="32"/>
          <w:szCs w:val="32"/>
          <w:lang w:val="en-US" w:eastAsia="zh-CN"/>
        </w:rPr>
        <w:t>20</w:t>
      </w:r>
      <w:r>
        <w:rPr>
          <w:rFonts w:hint="eastAsia" w:ascii="仿宋_GB2312" w:hAnsi="仿宋_GB2312" w:eastAsia="仿宋_GB2312" w:cs="仿宋_GB2312"/>
          <w:b w:val="0"/>
          <w:bCs w:val="0"/>
          <w:i w:val="0"/>
          <w:iCs w:val="0"/>
          <w:sz w:val="32"/>
          <w:szCs w:val="32"/>
        </w:rPr>
        <w:t>年部门预算公开表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sz w:val="32"/>
          <w:szCs w:val="32"/>
        </w:rPr>
      </w:pPr>
    </w:p>
    <w:sectPr>
      <w:footerReference r:id="rId3" w:type="default"/>
      <w:footerReference r:id="rId4" w:type="even"/>
      <w:pgSz w:w="11906" w:h="16838"/>
      <w:pgMar w:top="2098" w:right="1134" w:bottom="1984"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- 3 -</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EE5C2"/>
    <w:multiLevelType w:val="singleLevel"/>
    <w:tmpl w:val="C41EE5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47775"/>
    <w:rsid w:val="01E626CD"/>
    <w:rsid w:val="02FE7705"/>
    <w:rsid w:val="048A605A"/>
    <w:rsid w:val="099A1CA6"/>
    <w:rsid w:val="11B61B59"/>
    <w:rsid w:val="13870363"/>
    <w:rsid w:val="14B648CB"/>
    <w:rsid w:val="168C7DFC"/>
    <w:rsid w:val="18F51C45"/>
    <w:rsid w:val="1B5017E9"/>
    <w:rsid w:val="1C5F555A"/>
    <w:rsid w:val="1CD57B0E"/>
    <w:rsid w:val="1D1A03AD"/>
    <w:rsid w:val="21314266"/>
    <w:rsid w:val="21552D8F"/>
    <w:rsid w:val="218E69A0"/>
    <w:rsid w:val="22AF0D76"/>
    <w:rsid w:val="23EE5897"/>
    <w:rsid w:val="2A621D5E"/>
    <w:rsid w:val="2C140B44"/>
    <w:rsid w:val="2C300910"/>
    <w:rsid w:val="2C526B23"/>
    <w:rsid w:val="30635ADA"/>
    <w:rsid w:val="30A51BC6"/>
    <w:rsid w:val="31755778"/>
    <w:rsid w:val="34EA3E19"/>
    <w:rsid w:val="3BA66A5E"/>
    <w:rsid w:val="3BB26158"/>
    <w:rsid w:val="3C365E20"/>
    <w:rsid w:val="3C695ECC"/>
    <w:rsid w:val="3F547775"/>
    <w:rsid w:val="3FF325F4"/>
    <w:rsid w:val="410B2425"/>
    <w:rsid w:val="41840228"/>
    <w:rsid w:val="41DE0DBC"/>
    <w:rsid w:val="46A96C39"/>
    <w:rsid w:val="4A0F0C7C"/>
    <w:rsid w:val="4B4E0F10"/>
    <w:rsid w:val="4D5B1A7C"/>
    <w:rsid w:val="50C03E6B"/>
    <w:rsid w:val="50F54ACF"/>
    <w:rsid w:val="530149AE"/>
    <w:rsid w:val="54D2521F"/>
    <w:rsid w:val="55A4434B"/>
    <w:rsid w:val="58210078"/>
    <w:rsid w:val="5C3F395E"/>
    <w:rsid w:val="5E380040"/>
    <w:rsid w:val="640011A9"/>
    <w:rsid w:val="66D162AB"/>
    <w:rsid w:val="69EB3938"/>
    <w:rsid w:val="6C7B0A05"/>
    <w:rsid w:val="6CE65DCE"/>
    <w:rsid w:val="6D8F3043"/>
    <w:rsid w:val="6E1E6293"/>
    <w:rsid w:val="6E973A9C"/>
    <w:rsid w:val="6EC22C68"/>
    <w:rsid w:val="6F3E7D68"/>
    <w:rsid w:val="704769B6"/>
    <w:rsid w:val="713820B0"/>
    <w:rsid w:val="73562C85"/>
    <w:rsid w:val="75714017"/>
    <w:rsid w:val="7A231F91"/>
    <w:rsid w:val="7E2A6046"/>
    <w:rsid w:val="7F3F79F4"/>
    <w:rsid w:val="7FE83D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rPr>
      <w:sz w:val="24"/>
    </w:rPr>
  </w:style>
  <w:style w:type="character" w:styleId="5">
    <w:name w:val="page number"/>
    <w:basedOn w:val="4"/>
    <w:qFormat/>
    <w:uiPriority w:val="0"/>
  </w:style>
  <w:style w:type="character" w:styleId="6">
    <w:name w:val="FollowedHyperlink"/>
    <w:basedOn w:val="4"/>
    <w:qFormat/>
    <w:uiPriority w:val="0"/>
    <w:rPr>
      <w:color w:val="3D3D3D"/>
      <w:u w:val="none"/>
    </w:rPr>
  </w:style>
  <w:style w:type="character" w:styleId="7">
    <w:name w:val="Emphasis"/>
    <w:basedOn w:val="4"/>
    <w:qFormat/>
    <w:uiPriority w:val="0"/>
  </w:style>
  <w:style w:type="character" w:styleId="8">
    <w:name w:val="Hyperlink"/>
    <w:basedOn w:val="4"/>
    <w:qFormat/>
    <w:uiPriority w:val="0"/>
    <w:rPr>
      <w:color w:val="3D3D3D"/>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2018-03-20T09:37:00Z</dcterms:created>
  <dc:creator>Administrator</dc:creator>
  <cp:lastModifiedBy>lenovo</cp:lastModifiedBy>
  <dcterms:modified xsi:type="dcterms:W3CDTF">2020-05-13T12:25:06Z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