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eastAsia="仿宋_GB2312"/>
          <w:sz w:val="32"/>
          <w:szCs w:val="32"/>
          <w:u w:val="thick"/>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eastAsia="仿宋_GB2312"/>
          <w:sz w:val="32"/>
          <w:szCs w:val="32"/>
          <w:u w:val="thick"/>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崇信县司法局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主要职责是：</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（一）承担全面依法治县重大问题的政策研究，协调有关方</w:t>
      </w:r>
    </w:p>
    <w:p>
      <w:pPr>
        <w:keepNext w:val="0"/>
        <w:keepLines w:val="0"/>
        <w:pageBreakBefore w:val="0"/>
        <w:widowControl/>
        <w:kinsoku/>
        <w:wordWrap/>
        <w:overflowPunct/>
        <w:topLinePunct w:val="0"/>
        <w:autoSpaceDE/>
        <w:autoSpaceDN/>
        <w:bidi w:val="0"/>
        <w:adjustRightInd/>
        <w:snapToGrid/>
        <w:spacing w:line="640" w:lineRule="exact"/>
        <w:ind w:left="0" w:left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面提出全面依法治县中长期规划建议，负责有关重大决策部署督</w:t>
      </w:r>
    </w:p>
    <w:p>
      <w:pPr>
        <w:keepNext w:val="0"/>
        <w:keepLines w:val="0"/>
        <w:pageBreakBefore w:val="0"/>
        <w:widowControl/>
        <w:kinsoku/>
        <w:wordWrap/>
        <w:overflowPunct/>
        <w:topLinePunct w:val="0"/>
        <w:autoSpaceDE/>
        <w:autoSpaceDN/>
        <w:bidi w:val="0"/>
        <w:adjustRightInd/>
        <w:snapToGrid/>
        <w:spacing w:line="640" w:lineRule="exact"/>
        <w:ind w:left="0" w:left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察工作。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color w:val="FF0000"/>
          <w:kern w:val="0"/>
          <w:sz w:val="28"/>
          <w:szCs w:val="28"/>
        </w:rPr>
      </w:pPr>
      <w:r>
        <w:rPr>
          <w:rFonts w:hint="eastAsia" w:ascii="宋体" w:hAnsi="宋体" w:eastAsia="宋体" w:cs="宋体"/>
          <w:kern w:val="0"/>
          <w:sz w:val="28"/>
          <w:szCs w:val="28"/>
        </w:rPr>
        <w:t>（二）负责县政府规范性文件的备案审查工作。组织开展县政府规范性文件的清理工作。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承担统筹推进法治政府建设的责任。指导、监督县政府各部门依法行政工作。负责综合协调行政执法，承担推进行政执法体制改革有关工作，推进严格规范公正文明执法。承办向县政府申请的行政复议案件工作，负责应诉案件的办理工作，指导、监督县行政复议和行政应诉工作。负责规范行政执法程序、行政执法行为和行政裁量权，审核县直部门行政执法主体和行政执法人员资格，指导、监督全县各部门行政执法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（四）承担统筹规划法治社会建设的责任。按照中央统一部署，拟订法治宣传教育实施规划，组织实施普法宣传工作。推动人民参与和促进法治建设。指导依法治理和法治创建工作。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（五）指导、监督管理全县人民调解组织建设和矛盾纠纷排查调处、人民陪审员和人民监督员选任管理工作，推进司法所建设。</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（六）指导、管理全县社区矫正工作。指导全县刑满释放人员帮教安置工作。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（七）负责拟订全县公共法律服务体系建设规划并组织实施，统筹和布局城乡、区域法律服务资源。指导、监督全县律师、</w:t>
      </w:r>
    </w:p>
    <w:p>
      <w:pPr>
        <w:keepNext w:val="0"/>
        <w:keepLines w:val="0"/>
        <w:pageBreakBefore w:val="0"/>
        <w:widowControl/>
        <w:kinsoku/>
        <w:wordWrap/>
        <w:overflowPunct/>
        <w:topLinePunct w:val="0"/>
        <w:autoSpaceDE/>
        <w:autoSpaceDN/>
        <w:bidi w:val="0"/>
        <w:adjustRightInd/>
        <w:snapToGrid/>
        <w:spacing w:line="640" w:lineRule="exact"/>
        <w:ind w:left="0" w:left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法律援助、司法鉴定、公证、仲裁和基层法律服务工作，综合管</w:t>
      </w:r>
    </w:p>
    <w:p>
      <w:pPr>
        <w:keepNext w:val="0"/>
        <w:keepLines w:val="0"/>
        <w:pageBreakBefore w:val="0"/>
        <w:widowControl/>
        <w:kinsoku/>
        <w:wordWrap/>
        <w:overflowPunct/>
        <w:topLinePunct w:val="0"/>
        <w:autoSpaceDE/>
        <w:autoSpaceDN/>
        <w:bidi w:val="0"/>
        <w:adjustRightInd/>
        <w:snapToGrid/>
        <w:spacing w:line="640" w:lineRule="exact"/>
        <w:ind w:left="0" w:left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理社会法律服务机构。</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八）负责县政府法律顾问工作。对县政府作出的重大行政决策进行合法性审查。代理县政府行政诉讼和以县政府作为民事主体的相关法律事务，负责县政府法律事务咨询工作。组织开展法治政府建设理论研究和宣传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（九）</w:t>
      </w:r>
      <w:r>
        <w:rPr>
          <w:rFonts w:hint="eastAsia" w:ascii="宋体" w:hAnsi="宋体" w:eastAsia="宋体" w:cs="宋体"/>
          <w:kern w:val="0"/>
          <w:sz w:val="28"/>
          <w:szCs w:val="28"/>
        </w:rPr>
        <w:t>负责本系统信息化建设工作。指导、监督本系统财务、装备、设施、场所等保障工作。</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kern w:val="0"/>
          <w:sz w:val="28"/>
          <w:szCs w:val="28"/>
        </w:rPr>
        <w:t>(十)指导本系统党的建设、队伍建设和思想政治工作。负责本系统干部管理工作。负责全县司法行政系统拟录用和调进人员的初审与进人计划的上报工作。规划、协调、指导法治人才队伍建设相关工作。指导、监督全县法律服务行业党建工作。指导精神文明建设工作。协助县委、县政府管理司法局领导干部。</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黑体" w:hAnsi="黑体" w:eastAsia="黑体" w:cs="黑体"/>
          <w:b w:val="0"/>
          <w:bCs w:val="0"/>
          <w:sz w:val="32"/>
          <w:szCs w:val="32"/>
          <w:lang w:val="en-US" w:eastAsia="zh-CN"/>
        </w:rPr>
      </w:pPr>
      <w:r>
        <w:rPr>
          <w:rFonts w:hint="eastAsia" w:ascii="宋体" w:hAnsi="宋体" w:eastAsia="宋体" w:cs="宋体"/>
          <w:kern w:val="0"/>
          <w:sz w:val="28"/>
          <w:szCs w:val="28"/>
        </w:rPr>
        <w:t>（十一）完成县委、县政府和市司法局交办的其他任务。</w:t>
      </w:r>
    </w:p>
    <w:p>
      <w:pPr>
        <w:keepNext w:val="0"/>
        <w:keepLines w:val="0"/>
        <w:pageBreakBefore w:val="0"/>
        <w:numPr>
          <w:ilvl w:val="0"/>
          <w:numId w:val="2"/>
        </w:numPr>
        <w:kinsoku/>
        <w:wordWrap/>
        <w:overflowPunct/>
        <w:topLinePunct w:val="0"/>
        <w:autoSpaceDE/>
        <w:autoSpaceDN/>
        <w:bidi w:val="0"/>
        <w:adjustRightInd/>
        <w:snapToGrid/>
        <w:spacing w:line="640" w:lineRule="exact"/>
        <w:ind w:left="0" w:leftChars="0"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kinsoku/>
        <w:wordWrap/>
        <w:overflowPunct/>
        <w:topLinePunct w:val="0"/>
        <w:autoSpaceDE/>
        <w:autoSpaceDN/>
        <w:bidi w:val="0"/>
        <w:adjustRightInd/>
        <w:snapToGrid/>
        <w:spacing w:line="640" w:lineRule="exact"/>
        <w:ind w:left="0" w:left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县司法局设下列内设机构，均为股级。</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办公室。负责机关日常运转。承办综合协调、文电办理、印鉴管理、会议组织、督查考核、政务公开、新闻宣传、信息、保密、机要、档案等工作，组织起草工作计划、总结报告等综合性文字材料。监督、管理本系统中央政法补助专款和基建投资的使用工作。负责局机关的预决算、财务管理、国有资产管理、审计和政府采购工作。负责党风廉政建设、思想政治建设和精神文明创建工作。负责工会、共青团、妇联等群团组织工作。指导、监督全县法律服务行业党建工作。负责全系统信息化建设及运行维护工作。负责本系统对外宣传工作。承办机关接待、办公用品采购、考勤、安全保卫等机关后勤保障工作。承办全系统机构编制、干部管理、计划生育、劳动工资、专业技术资格与职务评聘等工作。督促办理县人大建议、政协提案工作。拟订全县司法行政系统应急工作规划、预案和管理制度，并组织实施。负责应急管理工作的监督检查和应急事件处置的组织、指挥、协调和救援。</w:t>
      </w:r>
    </w:p>
    <w:p>
      <w:pPr>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color w:val="FF0000"/>
          <w:kern w:val="0"/>
          <w:sz w:val="28"/>
          <w:szCs w:val="28"/>
        </w:rPr>
      </w:pPr>
      <w:r>
        <w:rPr>
          <w:rFonts w:hint="eastAsia" w:ascii="宋体" w:hAnsi="宋体" w:eastAsia="宋体" w:cs="宋体"/>
          <w:kern w:val="0"/>
          <w:sz w:val="28"/>
          <w:szCs w:val="28"/>
        </w:rPr>
        <w:t>（二）法制股。负责承办建设法治政府的相关任务。负责县政府、乡政府办公室发布的规范性文件合法性审查工作。负责县政府制定的规范性文件备案审查工作。承办县司法局规范性文件审查工作。依法办理公民、法人和其他组织对规范性文件提出的合法性审查申请事项。组织开展行政规范性文件定期清理和专项清理工作。承办向县政府申请的行政复议案件。指导、监督全县行政复议和行政应诉工作。负责县政府依法管辖的行政复议和行政应诉工作。承办县司法局行政复议和行政应诉工作。负责全县行政执法的综合协调工作。指导、监督全县各部门行政执法工作，督促检查本系统行政执法工作，推进严格规范公正执法。负责规范行政执法程序、行政执法行为和行政裁量权，审核县直部门行政执法主体和行政执法人员资格。负责县政府“放管服”改革措施的法治协调工作，指导行政裁决工作。负责县政府作出的行政决策、行政行为、行政处罚、行政合同、合作协议（民事协议）等重大法律事项的合法性审查。协助县政府对重大具体行政行为、重大投资项目的法律框架设计和相关法律文书等组织法律顾问进行法律论证和审核。承办县政府常务会拟决策议题的合法性审查工作。</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（三）公共法律服务管理股</w:t>
      </w:r>
      <w:r>
        <w:rPr>
          <w:rFonts w:hint="eastAsia" w:ascii="宋体" w:hAnsi="宋体" w:eastAsia="宋体" w:cs="宋体"/>
          <w:sz w:val="28"/>
          <w:szCs w:val="28"/>
        </w:rPr>
        <w:t>（政务服务股）</w:t>
      </w:r>
      <w:r>
        <w:rPr>
          <w:rFonts w:hint="eastAsia" w:ascii="宋体" w:hAnsi="宋体" w:eastAsia="宋体" w:cs="宋体"/>
          <w:kern w:val="0"/>
          <w:sz w:val="28"/>
          <w:szCs w:val="28"/>
        </w:rPr>
        <w:t>。</w:t>
      </w:r>
      <w:r>
        <w:rPr>
          <w:rFonts w:hint="eastAsia" w:ascii="宋体" w:hAnsi="宋体" w:eastAsia="宋体" w:cs="宋体"/>
          <w:sz w:val="28"/>
          <w:szCs w:val="28"/>
        </w:rPr>
        <w:t>负责</w:t>
      </w:r>
      <w:r>
        <w:rPr>
          <w:rFonts w:hint="eastAsia" w:ascii="宋体" w:hAnsi="宋体" w:eastAsia="宋体" w:cs="宋体"/>
          <w:kern w:val="0"/>
          <w:sz w:val="28"/>
          <w:szCs w:val="28"/>
        </w:rPr>
        <w:t>起草</w:t>
      </w:r>
      <w:r>
        <w:rPr>
          <w:rFonts w:hint="eastAsia" w:ascii="宋体" w:hAnsi="宋体" w:eastAsia="宋体" w:cs="宋体"/>
          <w:sz w:val="28"/>
          <w:szCs w:val="28"/>
        </w:rPr>
        <w:t>全县法治宣传教育规划并组织实施，指导、监督各乡镇各部门“谁执法谁普法”的普法责任制落实工作。指导各乡镇各部门各行业依法治理和法治创建工作。</w:t>
      </w:r>
      <w:r>
        <w:rPr>
          <w:rFonts w:hint="eastAsia" w:ascii="宋体" w:hAnsi="宋体" w:eastAsia="宋体" w:cs="宋体"/>
          <w:kern w:val="0"/>
          <w:sz w:val="28"/>
          <w:szCs w:val="28"/>
        </w:rPr>
        <w:t>负责规划和推进全县公共法律服务体系和平台建设工作。监督、管理法律援助、公证、律师事务所、法律服务所、司法鉴定、仲裁工作。负责公证处、律师事务所及公证员、律师人员年度审核工作。指导社会组织和志愿者开展法律服务工作。指导、监督全县党政机关、企事业单位法律顾问工作，指导公职律师、公司律师工作。承担“放管服”改革、行政审批制度改革各项工作；负责梳理加载</w:t>
      </w:r>
      <w:r>
        <w:rPr>
          <w:rFonts w:hint="eastAsia" w:ascii="宋体" w:hAnsi="宋体" w:eastAsia="宋体" w:cs="宋体"/>
          <w:sz w:val="28"/>
          <w:szCs w:val="28"/>
        </w:rPr>
        <w:t xml:space="preserve">、更新发布权责清单、服务指南等工作；负责制定政务服务事项办理业务手册、服务指南，优化服务流程，推行网上审批服务；负责组织、协调、督促政务服务事项办理，监督政务服务行为。   </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textAlignment w:val="auto"/>
        <w:rPr>
          <w:rFonts w:hint="eastAsia" w:ascii="黑体" w:hAnsi="黑体" w:eastAsia="黑体" w:cs="黑体"/>
          <w:b w:val="0"/>
          <w:bCs w:val="0"/>
          <w:sz w:val="32"/>
          <w:szCs w:val="32"/>
        </w:rPr>
      </w:pPr>
      <w:r>
        <w:rPr>
          <w:rFonts w:hint="eastAsia" w:ascii="宋体" w:hAnsi="宋体" w:eastAsia="宋体" w:cs="宋体"/>
          <w:kern w:val="0"/>
          <w:sz w:val="28"/>
          <w:szCs w:val="28"/>
        </w:rPr>
        <w:t>（四）人民参与和促进法治股。</w:t>
      </w:r>
      <w:r>
        <w:rPr>
          <w:rFonts w:hint="eastAsia" w:ascii="宋体" w:hAnsi="宋体" w:eastAsia="宋体" w:cs="宋体"/>
          <w:sz w:val="28"/>
          <w:szCs w:val="28"/>
        </w:rPr>
        <w:t>指导全县人民团体、群众自治组织和社会组织参与、支持法治社会建设工作。指导推进司法所建设。指导全县人民调解、行政调解和行业性专业性调解工作。指导、负责人民陪审员、人民监督员选任管理工作。负责基层司法所及乡（镇）、工业集中区、城市社区法律服务机构业务建设、人员管理、年度考核工作。负责乡（镇）、工业集中区、城市社区法律服务机构设置、变更、注销的初审上报工作。负责基层司法所和法律服务工作者的培训和年度考核工作。负责基层法律服务工作者年度注册的相关工作。指导、监督全县刑满释放人员的帮教安置工作。</w:t>
      </w:r>
      <w:r>
        <w:rPr>
          <w:rFonts w:hint="eastAsia" w:ascii="宋体" w:hAnsi="宋体" w:eastAsia="宋体" w:cs="宋体"/>
          <w:kern w:val="0"/>
          <w:sz w:val="28"/>
          <w:szCs w:val="28"/>
        </w:rPr>
        <w:t>指导、管理全县社区矫正工作。</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hAnsi="宋体" w:eastAsia="宋体" w:cs="宋体"/>
          <w:sz w:val="28"/>
          <w:szCs w:val="28"/>
          <w:lang w:val="en-US" w:eastAsia="zh-CN"/>
        </w:rPr>
      </w:pPr>
      <w:r>
        <w:rPr>
          <w:rFonts w:hint="eastAsia" w:ascii="黑体" w:hAnsi="黑体" w:eastAsia="黑体" w:cs="黑体"/>
          <w:b w:val="0"/>
          <w:bCs w:val="0"/>
          <w:sz w:val="28"/>
          <w:szCs w:val="28"/>
          <w:lang w:val="en-US" w:eastAsia="zh-CN"/>
        </w:rPr>
        <w:t xml:space="preserve">  </w:t>
      </w:r>
      <w:r>
        <w:rPr>
          <w:rFonts w:hint="eastAsia" w:hAnsi="宋体" w:cs="宋体"/>
          <w:sz w:val="28"/>
          <w:szCs w:val="28"/>
          <w:lang w:val="en-US" w:eastAsia="zh-CN"/>
        </w:rPr>
        <w:t>1</w:t>
      </w:r>
      <w:r>
        <w:rPr>
          <w:rFonts w:hint="eastAsia" w:ascii="黑体" w:hAnsi="黑体" w:eastAsia="黑体" w:cs="黑体"/>
          <w:b w:val="0"/>
          <w:bCs w:val="0"/>
          <w:sz w:val="28"/>
          <w:szCs w:val="28"/>
          <w:lang w:val="en-US" w:eastAsia="zh-CN"/>
        </w:rPr>
        <w:t xml:space="preserve"> </w:t>
      </w:r>
      <w:r>
        <w:rPr>
          <w:rFonts w:hint="eastAsia" w:hAnsi="宋体" w:cs="宋体"/>
          <w:sz w:val="28"/>
          <w:szCs w:val="28"/>
          <w:lang w:val="en-US" w:eastAsia="zh-CN"/>
        </w:rPr>
        <w:t>2020年度</w:t>
      </w:r>
      <w:r>
        <w:rPr>
          <w:rFonts w:hint="eastAsia" w:hAnsi="宋体" w:cs="宋体"/>
          <w:sz w:val="28"/>
          <w:szCs w:val="28"/>
        </w:rPr>
        <w:t>本单位总收入为</w:t>
      </w:r>
      <w:r>
        <w:rPr>
          <w:rFonts w:hint="eastAsia" w:hAnsi="宋体" w:cs="宋体"/>
          <w:sz w:val="28"/>
          <w:szCs w:val="28"/>
          <w:lang w:val="en-US" w:eastAsia="zh-CN"/>
        </w:rPr>
        <w:t>963.34</w:t>
      </w:r>
      <w:r>
        <w:rPr>
          <w:rFonts w:hint="eastAsia" w:hAnsi="宋体" w:cs="宋体"/>
          <w:sz w:val="28"/>
          <w:szCs w:val="28"/>
        </w:rPr>
        <w:t>万元，其中：财政拨款收入</w:t>
      </w:r>
      <w:r>
        <w:rPr>
          <w:rFonts w:hint="eastAsia" w:hAnsi="宋体" w:cs="宋体"/>
          <w:sz w:val="28"/>
          <w:szCs w:val="28"/>
          <w:lang w:val="en-US" w:eastAsia="zh-CN"/>
        </w:rPr>
        <w:t>963.34</w:t>
      </w:r>
      <w:r>
        <w:rPr>
          <w:rFonts w:hint="eastAsia" w:hAnsi="宋体" w:cs="宋体"/>
          <w:sz w:val="28"/>
          <w:szCs w:val="28"/>
        </w:rPr>
        <w:t>万元</w:t>
      </w:r>
      <w:r>
        <w:rPr>
          <w:rFonts w:hint="eastAsia" w:hAnsi="宋体" w:cs="宋体"/>
          <w:sz w:val="28"/>
          <w:szCs w:val="28"/>
          <w:lang w:eastAsia="zh-CN"/>
        </w:rPr>
        <w:t>；</w:t>
      </w:r>
      <w:r>
        <w:rPr>
          <w:rFonts w:hint="eastAsia" w:hAnsi="宋体" w:cs="宋体"/>
          <w:sz w:val="28"/>
          <w:szCs w:val="28"/>
        </w:rPr>
        <w:t>总支出</w:t>
      </w:r>
      <w:r>
        <w:rPr>
          <w:rFonts w:hint="eastAsia" w:hAnsi="宋体" w:cs="宋体"/>
          <w:sz w:val="28"/>
          <w:szCs w:val="28"/>
          <w:lang w:val="en-US" w:eastAsia="zh-CN"/>
        </w:rPr>
        <w:t>968.2</w:t>
      </w:r>
      <w:r>
        <w:rPr>
          <w:rFonts w:hint="eastAsia" w:hAnsi="宋体" w:cs="宋体"/>
          <w:sz w:val="28"/>
          <w:szCs w:val="28"/>
        </w:rPr>
        <w:t>万元，其中：</w:t>
      </w:r>
      <w:r>
        <w:rPr>
          <w:rFonts w:hint="eastAsia" w:hAnsi="宋体" w:cs="宋体"/>
          <w:sz w:val="28"/>
          <w:szCs w:val="28"/>
          <w:lang w:eastAsia="zh-CN"/>
        </w:rPr>
        <w:t>一般公共服务支出</w:t>
      </w:r>
      <w:r>
        <w:rPr>
          <w:rFonts w:hint="eastAsia" w:hAnsi="宋体" w:cs="宋体"/>
          <w:sz w:val="28"/>
          <w:szCs w:val="28"/>
          <w:lang w:val="en-US" w:eastAsia="zh-CN"/>
        </w:rPr>
        <w:t>33.7万元，公共安全支出858.74</w:t>
      </w:r>
      <w:r>
        <w:rPr>
          <w:rFonts w:hint="eastAsia" w:hAnsi="宋体" w:cs="宋体"/>
          <w:sz w:val="28"/>
          <w:szCs w:val="28"/>
        </w:rPr>
        <w:t>万元，</w:t>
      </w:r>
      <w:r>
        <w:rPr>
          <w:rFonts w:hint="eastAsia" w:hAnsi="宋体" w:cs="宋体"/>
          <w:sz w:val="28"/>
          <w:szCs w:val="28"/>
          <w:lang w:eastAsia="zh-CN"/>
        </w:rPr>
        <w:t>社会保障和就业支出</w:t>
      </w:r>
      <w:r>
        <w:rPr>
          <w:rFonts w:hint="eastAsia" w:hAnsi="宋体" w:cs="宋体"/>
          <w:sz w:val="28"/>
          <w:szCs w:val="28"/>
          <w:lang w:val="en-US" w:eastAsia="zh-CN"/>
        </w:rPr>
        <w:t>67.89万元，农林水支出2万元</w:t>
      </w:r>
      <w:r>
        <w:rPr>
          <w:rFonts w:hint="eastAsia" w:hAnsi="宋体" w:cs="宋体"/>
          <w:sz w:val="28"/>
          <w:szCs w:val="28"/>
          <w:lang w:eastAsia="zh-CN"/>
        </w:rPr>
        <w:t>。</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hAnsi="宋体" w:cs="宋体"/>
          <w:sz w:val="28"/>
          <w:szCs w:val="28"/>
        </w:rPr>
      </w:pPr>
      <w:r>
        <w:rPr>
          <w:rFonts w:hint="eastAsia" w:hAnsi="宋体" w:cs="宋体"/>
          <w:sz w:val="28"/>
          <w:szCs w:val="28"/>
        </w:rPr>
        <w:t>2.收入支出与以前年度对比分析：</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default" w:hAnsi="宋体" w:eastAsia="宋体" w:cs="宋体"/>
          <w:sz w:val="28"/>
          <w:szCs w:val="28"/>
          <w:lang w:val="en-US" w:eastAsia="zh-CN"/>
        </w:rPr>
      </w:pPr>
      <w:r>
        <w:rPr>
          <w:rFonts w:hint="eastAsia" w:hAnsi="宋体" w:cs="宋体"/>
          <w:sz w:val="28"/>
          <w:szCs w:val="28"/>
          <w:lang w:val="en-US" w:eastAsia="zh-CN"/>
        </w:rPr>
        <w:t>1.2020年度</w:t>
      </w:r>
      <w:r>
        <w:rPr>
          <w:rFonts w:hint="eastAsia" w:hAnsi="宋体" w:cs="宋体"/>
          <w:sz w:val="28"/>
          <w:szCs w:val="28"/>
        </w:rPr>
        <w:t>本单位总收入为</w:t>
      </w:r>
      <w:r>
        <w:rPr>
          <w:rFonts w:hint="eastAsia" w:hAnsi="宋体" w:cs="宋体"/>
          <w:sz w:val="28"/>
          <w:szCs w:val="28"/>
          <w:lang w:val="en-US" w:eastAsia="zh-CN"/>
        </w:rPr>
        <w:t>963.34</w:t>
      </w:r>
      <w:r>
        <w:rPr>
          <w:rFonts w:hint="eastAsia" w:hAnsi="宋体" w:cs="宋体"/>
          <w:sz w:val="28"/>
          <w:szCs w:val="28"/>
        </w:rPr>
        <w:t>万元，其中：一般公共预算财政拨款</w:t>
      </w:r>
      <w:r>
        <w:rPr>
          <w:rFonts w:hint="eastAsia" w:hAnsi="宋体" w:cs="宋体"/>
          <w:sz w:val="28"/>
          <w:szCs w:val="28"/>
          <w:lang w:val="en-US" w:eastAsia="zh-CN"/>
        </w:rPr>
        <w:t>963.34万元，</w:t>
      </w:r>
      <w:r>
        <w:rPr>
          <w:rFonts w:hint="eastAsia" w:hAnsi="宋体" w:cs="宋体"/>
          <w:sz w:val="28"/>
          <w:szCs w:val="28"/>
        </w:rPr>
        <w:t xml:space="preserve">占总收入的 </w:t>
      </w:r>
      <w:r>
        <w:rPr>
          <w:rFonts w:hint="eastAsia" w:hAnsi="宋体" w:cs="宋体"/>
          <w:sz w:val="28"/>
          <w:szCs w:val="28"/>
          <w:lang w:val="en-US" w:eastAsia="zh-CN"/>
        </w:rPr>
        <w:t>100</w:t>
      </w:r>
      <w:r>
        <w:rPr>
          <w:rFonts w:hint="eastAsia" w:hAnsi="宋体" w:cs="宋体"/>
          <w:sz w:val="28"/>
          <w:szCs w:val="28"/>
        </w:rPr>
        <w:t>%</w:t>
      </w:r>
      <w:r>
        <w:rPr>
          <w:rFonts w:hint="eastAsia" w:hAnsi="宋体" w:cs="宋体"/>
          <w:sz w:val="28"/>
          <w:szCs w:val="28"/>
          <w:lang w:eastAsia="zh-CN"/>
        </w:rPr>
        <w:t>，</w:t>
      </w:r>
      <w:r>
        <w:rPr>
          <w:rFonts w:hint="eastAsia" w:hAnsi="宋体" w:cs="宋体"/>
          <w:sz w:val="28"/>
          <w:szCs w:val="28"/>
          <w:lang w:val="en-US" w:eastAsia="zh-CN"/>
        </w:rPr>
        <w:t>比上年度同比增加135.13万元，增加16.32%</w:t>
      </w:r>
      <w:r>
        <w:rPr>
          <w:rFonts w:hint="eastAsia" w:hAnsi="宋体" w:cs="宋体"/>
          <w:sz w:val="28"/>
          <w:szCs w:val="28"/>
          <w:lang w:eastAsia="zh-CN"/>
        </w:rPr>
        <w:t>。</w:t>
      </w:r>
      <w:r>
        <w:rPr>
          <w:rFonts w:hint="eastAsia" w:hAnsi="宋体" w:cs="宋体"/>
          <w:sz w:val="28"/>
          <w:szCs w:val="28"/>
        </w:rPr>
        <w:t>本年本单位总支出</w:t>
      </w:r>
      <w:r>
        <w:rPr>
          <w:rFonts w:hint="eastAsia" w:hAnsi="宋体" w:cs="宋体"/>
          <w:sz w:val="28"/>
          <w:szCs w:val="28"/>
          <w:lang w:val="en-US" w:eastAsia="zh-CN"/>
        </w:rPr>
        <w:t>962.33</w:t>
      </w:r>
      <w:r>
        <w:rPr>
          <w:rFonts w:hint="eastAsia" w:hAnsi="宋体" w:cs="宋体"/>
          <w:sz w:val="28"/>
          <w:szCs w:val="28"/>
        </w:rPr>
        <w:t>万元，</w:t>
      </w:r>
      <w:r>
        <w:rPr>
          <w:rFonts w:hint="eastAsia" w:hAnsi="宋体" w:cs="宋体"/>
          <w:sz w:val="28"/>
          <w:szCs w:val="28"/>
          <w:lang w:val="en-US" w:eastAsia="zh-CN"/>
        </w:rPr>
        <w:t>比上年度同比增加109.63万元，增加12.86%，</w:t>
      </w:r>
      <w:r>
        <w:rPr>
          <w:rFonts w:hint="eastAsia" w:hAnsi="宋体" w:cs="宋体"/>
          <w:sz w:val="28"/>
          <w:szCs w:val="28"/>
        </w:rPr>
        <w:t>其中：</w:t>
      </w:r>
      <w:r>
        <w:rPr>
          <w:rFonts w:hint="eastAsia" w:hAnsi="宋体" w:cs="宋体"/>
          <w:sz w:val="28"/>
          <w:szCs w:val="28"/>
          <w:lang w:eastAsia="zh-CN"/>
        </w:rPr>
        <w:t>人员经725.58</w:t>
      </w:r>
      <w:r>
        <w:rPr>
          <w:rFonts w:hint="eastAsia" w:hAnsi="宋体" w:cs="宋体"/>
          <w:sz w:val="28"/>
          <w:szCs w:val="28"/>
        </w:rPr>
        <w:t>万元</w:t>
      </w:r>
      <w:r>
        <w:rPr>
          <w:rFonts w:hint="eastAsia" w:hAnsi="宋体" w:cs="宋体"/>
          <w:sz w:val="28"/>
          <w:szCs w:val="28"/>
          <w:lang w:eastAsia="zh-CN"/>
        </w:rPr>
        <w:t>，</w:t>
      </w:r>
      <w:r>
        <w:rPr>
          <w:rFonts w:hint="eastAsia" w:hAnsi="宋体" w:cs="宋体"/>
          <w:sz w:val="28"/>
          <w:szCs w:val="28"/>
          <w:lang w:val="en-US" w:eastAsia="zh-CN"/>
        </w:rPr>
        <w:t>比上年度同比增加10.36万元，增加1.45%;</w:t>
      </w:r>
      <w:r>
        <w:rPr>
          <w:rFonts w:hint="eastAsia" w:hAnsi="宋体" w:cs="宋体"/>
          <w:sz w:val="28"/>
          <w:szCs w:val="28"/>
          <w:lang w:eastAsia="zh-CN"/>
        </w:rPr>
        <w:t>日常公用经费支出</w:t>
      </w:r>
      <w:r>
        <w:rPr>
          <w:rFonts w:hint="eastAsia" w:hAnsi="宋体" w:cs="宋体"/>
          <w:sz w:val="28"/>
          <w:szCs w:val="28"/>
          <w:lang w:val="en-US" w:eastAsia="zh-CN"/>
        </w:rPr>
        <w:t>236.75万元，比上年度同比</w:t>
      </w:r>
      <w:r>
        <w:rPr>
          <w:rFonts w:hint="eastAsia" w:hAnsi="宋体" w:cs="宋体"/>
          <w:sz w:val="28"/>
          <w:szCs w:val="28"/>
          <w:lang w:eastAsia="zh-CN"/>
        </w:rPr>
        <w:t>增加</w:t>
      </w:r>
      <w:r>
        <w:rPr>
          <w:rFonts w:hint="eastAsia" w:hAnsi="宋体" w:cs="宋体"/>
          <w:sz w:val="28"/>
          <w:szCs w:val="28"/>
          <w:lang w:val="en-US" w:eastAsia="zh-CN"/>
        </w:rPr>
        <w:t>99.28万元，增加72.22%.</w:t>
      </w:r>
    </w:p>
    <w:p>
      <w:pPr>
        <w:pStyle w:val="2"/>
        <w:keepNext w:val="0"/>
        <w:keepLines w:val="0"/>
        <w:pageBreakBefore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eastAsia" w:hAnsi="宋体" w:cs="宋体"/>
          <w:sz w:val="28"/>
          <w:szCs w:val="28"/>
        </w:rPr>
      </w:pPr>
      <w:r>
        <w:rPr>
          <w:rFonts w:hint="eastAsia" w:hAnsi="宋体" w:cs="宋体"/>
          <w:sz w:val="28"/>
          <w:szCs w:val="28"/>
          <w:lang w:val="en-US" w:eastAsia="zh-CN"/>
        </w:rPr>
        <w:t>3、</w:t>
      </w:r>
      <w:r>
        <w:rPr>
          <w:rFonts w:hint="eastAsia" w:hAnsi="宋体" w:cs="宋体"/>
          <w:sz w:val="28"/>
          <w:szCs w:val="28"/>
        </w:rPr>
        <w:t>资产负债情况分析：</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default" w:hAnsi="宋体" w:cs="宋体"/>
          <w:sz w:val="28"/>
          <w:szCs w:val="28"/>
          <w:lang w:val="en-US" w:eastAsia="zh-CN"/>
        </w:rPr>
      </w:pPr>
      <w:r>
        <w:rPr>
          <w:rFonts w:hint="eastAsia" w:hAnsi="宋体" w:cs="宋体"/>
          <w:sz w:val="28"/>
          <w:szCs w:val="28"/>
          <w:lang w:val="en-US" w:eastAsia="zh-CN"/>
        </w:rPr>
        <w:t>本单位资产总额1242.86万元，比上年度同比增加36.17万元，增加2.91%；其中通用设备增加30.81万元，专用设备2.28万元，家具用具增加3.08万元。</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hAnsi="宋体" w:cs="宋体"/>
          <w:sz w:val="28"/>
          <w:szCs w:val="28"/>
        </w:rPr>
      </w:pPr>
      <w:r>
        <w:rPr>
          <w:rFonts w:hint="eastAsia" w:hAnsi="宋体" w:cs="宋体"/>
          <w:sz w:val="28"/>
          <w:szCs w:val="28"/>
        </w:rPr>
        <w:t>4</w:t>
      </w:r>
      <w:r>
        <w:rPr>
          <w:rFonts w:hint="eastAsia" w:hAnsi="宋体" w:cs="宋体"/>
          <w:sz w:val="28"/>
          <w:szCs w:val="28"/>
          <w:lang w:eastAsia="zh-CN"/>
        </w:rPr>
        <w:t>、</w:t>
      </w:r>
      <w:r>
        <w:rPr>
          <w:rFonts w:hint="eastAsia" w:hAnsi="宋体" w:cs="宋体"/>
          <w:sz w:val="28"/>
          <w:szCs w:val="28"/>
        </w:rPr>
        <w:t>与财政部门的对账情况：</w:t>
      </w:r>
    </w:p>
    <w:p>
      <w:pPr>
        <w:pStyle w:val="2"/>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default" w:ascii="宋体" w:hAnsi="宋体" w:eastAsia="黑体" w:cs="仿宋_GB2312"/>
          <w:sz w:val="28"/>
          <w:szCs w:val="28"/>
          <w:lang w:val="en-US" w:eastAsia="zh-CN"/>
        </w:rPr>
      </w:pPr>
      <w:r>
        <w:rPr>
          <w:rFonts w:hint="eastAsia" w:hAnsi="宋体"/>
          <w:sz w:val="28"/>
          <w:szCs w:val="28"/>
        </w:rPr>
        <w:t>本年度实际收到的一般预算财政拨款收入</w:t>
      </w:r>
      <w:r>
        <w:rPr>
          <w:rFonts w:hint="eastAsia" w:hAnsi="宋体" w:cs="宋体"/>
          <w:sz w:val="28"/>
          <w:szCs w:val="28"/>
          <w:lang w:val="en-US" w:eastAsia="zh-CN"/>
        </w:rPr>
        <w:t>963.34</w:t>
      </w:r>
      <w:r>
        <w:rPr>
          <w:rFonts w:hint="eastAsia" w:hAnsi="宋体" w:cs="宋体"/>
          <w:sz w:val="28"/>
          <w:szCs w:val="28"/>
        </w:rPr>
        <w:t>万</w:t>
      </w:r>
      <w:r>
        <w:rPr>
          <w:rFonts w:hint="eastAsia" w:hAnsi="宋体"/>
          <w:sz w:val="28"/>
          <w:szCs w:val="28"/>
        </w:rPr>
        <w:t>元，与财政拨款核对相符。</w:t>
      </w:r>
      <w:r>
        <w:rPr>
          <w:rFonts w:hint="eastAsia" w:ascii="宋体" w:hAnsi="宋体" w:eastAsia="黑体"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left="0" w:leftChars="0"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2020年度</w:t>
      </w:r>
      <w:r>
        <w:rPr>
          <w:rFonts w:hint="eastAsia" w:asciiTheme="minorEastAsia" w:hAnsiTheme="minorEastAsia" w:eastAsiaTheme="minorEastAsia" w:cstheme="minorEastAsia"/>
          <w:sz w:val="28"/>
          <w:szCs w:val="28"/>
        </w:rPr>
        <w:t>本单位总支出</w:t>
      </w:r>
      <w:r>
        <w:rPr>
          <w:rFonts w:hint="eastAsia" w:asciiTheme="minorEastAsia" w:hAnsiTheme="minorEastAsia" w:eastAsiaTheme="minorEastAsia" w:cstheme="minorEastAsia"/>
          <w:sz w:val="28"/>
          <w:szCs w:val="28"/>
          <w:lang w:val="en-US" w:eastAsia="zh-CN"/>
        </w:rPr>
        <w:t>968.2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hAnsi="宋体" w:cs="宋体"/>
          <w:sz w:val="28"/>
          <w:szCs w:val="28"/>
          <w:lang w:val="en-US" w:eastAsia="zh-CN"/>
        </w:rPr>
        <w:t>比上年度同比增加109.63万元，增加12.86%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eastAsia="zh-CN"/>
        </w:rPr>
        <w:t>一般公共服务支出</w:t>
      </w:r>
      <w:r>
        <w:rPr>
          <w:rFonts w:hint="eastAsia" w:asciiTheme="minorEastAsia" w:hAnsiTheme="minorEastAsia" w:eastAsiaTheme="minorEastAsia" w:cstheme="minorEastAsia"/>
          <w:sz w:val="28"/>
          <w:szCs w:val="28"/>
          <w:lang w:val="en-US" w:eastAsia="zh-CN"/>
        </w:rPr>
        <w:t>33.7万元，公共安全支出858.74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社会保障和就业支出</w:t>
      </w:r>
      <w:r>
        <w:rPr>
          <w:rFonts w:hint="eastAsia" w:asciiTheme="minorEastAsia" w:hAnsiTheme="minorEastAsia" w:eastAsiaTheme="minorEastAsia" w:cstheme="minorEastAsia"/>
          <w:sz w:val="28"/>
          <w:szCs w:val="28"/>
          <w:lang w:val="en-US" w:eastAsia="zh-CN"/>
        </w:rPr>
        <w:t>67.89万元，农林水支出2万元。</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eastAsia="zh-CN"/>
        </w:rPr>
        <w:t>人员经费</w:t>
      </w:r>
      <w:r>
        <w:rPr>
          <w:rFonts w:hint="eastAsia" w:asciiTheme="minorEastAsia" w:hAnsiTheme="minorEastAsia" w:eastAsiaTheme="minorEastAsia" w:cstheme="minorEastAsia"/>
          <w:sz w:val="28"/>
          <w:szCs w:val="28"/>
          <w:lang w:val="en-US" w:eastAsia="zh-CN"/>
        </w:rPr>
        <w:t>725.58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占总支出的</w:t>
      </w:r>
      <w:r>
        <w:rPr>
          <w:rFonts w:hint="eastAsia" w:asciiTheme="minorEastAsia" w:hAnsiTheme="minorEastAsia" w:eastAsiaTheme="minorEastAsia" w:cstheme="minorEastAsia"/>
          <w:sz w:val="28"/>
          <w:szCs w:val="28"/>
          <w:lang w:val="en-US" w:eastAsia="zh-CN"/>
        </w:rPr>
        <w:t>74.94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,比上年度同比增加10.36万元，增加1.45%;</w:t>
      </w:r>
      <w:r>
        <w:rPr>
          <w:rFonts w:hint="eastAsia" w:asciiTheme="minorEastAsia" w:hAnsiTheme="minorEastAsia" w:eastAsiaTheme="minorEastAsia" w:cstheme="minorEastAsia"/>
          <w:sz w:val="28"/>
          <w:szCs w:val="28"/>
          <w:lang w:eastAsia="zh-CN"/>
        </w:rPr>
        <w:t>日常公用经费支出</w:t>
      </w:r>
      <w:r>
        <w:rPr>
          <w:rFonts w:hint="eastAsia" w:asciiTheme="minorEastAsia" w:hAnsiTheme="minorEastAsia" w:eastAsiaTheme="minorEastAsia" w:cstheme="minorEastAsia"/>
          <w:sz w:val="28"/>
          <w:szCs w:val="28"/>
          <w:lang w:val="en-US" w:eastAsia="zh-CN"/>
        </w:rPr>
        <w:t>236.75万元，</w:t>
      </w:r>
      <w:r>
        <w:rPr>
          <w:rFonts w:hint="eastAsia" w:asciiTheme="minorEastAsia" w:hAnsiTheme="minorEastAsia" w:eastAsiaTheme="minorEastAsia" w:cstheme="minorEastAsia"/>
          <w:sz w:val="28"/>
          <w:szCs w:val="28"/>
        </w:rPr>
        <w:t>占总支出的</w:t>
      </w:r>
      <w:r>
        <w:rPr>
          <w:rFonts w:hint="eastAsia" w:asciiTheme="minorEastAsia" w:hAnsiTheme="minorEastAsia" w:eastAsiaTheme="minorEastAsia" w:cstheme="minorEastAsia"/>
          <w:sz w:val="28"/>
          <w:szCs w:val="28"/>
          <w:lang w:val="en-US" w:eastAsia="zh-CN"/>
        </w:rPr>
        <w:t>25.06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,比上年度同比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99.28万元，增加72.22%.</w:t>
      </w: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0.46</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lang w:val="en-US" w:eastAsia="zh-CN"/>
        </w:rPr>
        <w:t>1.04</w:t>
      </w:r>
      <w:r>
        <w:rPr>
          <w:rFonts w:hint="eastAsia" w:ascii="宋体" w:hAnsi="宋体"/>
          <w:sz w:val="28"/>
          <w:szCs w:val="28"/>
        </w:rPr>
        <w:t>万元，具体为：</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0.46</w:t>
      </w:r>
      <w:r>
        <w:rPr>
          <w:rFonts w:hint="eastAsia" w:ascii="宋体" w:hAnsi="宋体"/>
          <w:sz w:val="28"/>
          <w:szCs w:val="28"/>
        </w:rPr>
        <w:t>万元。公务用车保有量</w:t>
      </w:r>
      <w:r>
        <w:rPr>
          <w:rFonts w:hint="eastAsia" w:ascii="宋体" w:hAnsi="宋体" w:cs="仿宋_GB2312"/>
          <w:sz w:val="28"/>
          <w:szCs w:val="28"/>
          <w:lang w:val="en-US" w:eastAsia="zh-CN"/>
        </w:rPr>
        <w:t>4</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年无公务用车购置费。公务用车运行维护费</w:t>
      </w:r>
      <w:r>
        <w:rPr>
          <w:rFonts w:hint="eastAsia" w:ascii="宋体" w:hAnsi="宋体" w:cs="仿宋_GB2312"/>
          <w:sz w:val="28"/>
          <w:szCs w:val="28"/>
          <w:lang w:val="en-US" w:eastAsia="zh-CN"/>
        </w:rPr>
        <w:t>0.46</w:t>
      </w:r>
      <w:r>
        <w:rPr>
          <w:rFonts w:hint="eastAsia" w:ascii="宋体" w:hAnsi="宋体"/>
          <w:sz w:val="28"/>
          <w:szCs w:val="28"/>
        </w:rPr>
        <w:t>万元，主要用于</w:t>
      </w:r>
      <w:r>
        <w:rPr>
          <w:rFonts w:hint="eastAsia" w:ascii="宋体" w:hAnsi="宋体"/>
          <w:sz w:val="28"/>
          <w:szCs w:val="28"/>
          <w:lang w:eastAsia="zh-CN"/>
        </w:rPr>
        <w:t>燃料费和维修费</w:t>
      </w:r>
      <w:r>
        <w:rPr>
          <w:rFonts w:hint="eastAsia" w:ascii="宋体" w:hAnsi="宋体"/>
          <w:sz w:val="28"/>
          <w:szCs w:val="28"/>
        </w:rPr>
        <w:t>的支出。</w:t>
      </w:r>
    </w:p>
    <w:p>
      <w:pPr>
        <w:keepNext w:val="0"/>
        <w:keepLines w:val="0"/>
        <w:pageBreakBefore w:val="0"/>
        <w:numPr>
          <w:ilvl w:val="0"/>
          <w:numId w:val="3"/>
        </w:numPr>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rPr>
      </w:pPr>
      <w:r>
        <w:rPr>
          <w:rFonts w:hint="eastAsia" w:ascii="宋体" w:hAnsi="宋体"/>
          <w:sz w:val="28"/>
          <w:szCs w:val="28"/>
        </w:rPr>
        <w:t>公务接待费</w:t>
      </w:r>
      <w:r>
        <w:rPr>
          <w:rFonts w:hint="eastAsia" w:ascii="宋体" w:hAnsi="宋体" w:cs="仿宋_GB2312"/>
          <w:sz w:val="28"/>
          <w:szCs w:val="28"/>
          <w:lang w:val="en-US" w:eastAsia="zh-CN"/>
        </w:rPr>
        <w:t>0</w:t>
      </w:r>
      <w:r>
        <w:rPr>
          <w:rFonts w:hint="eastAsia" w:ascii="宋体" w:hAnsi="宋体"/>
          <w:sz w:val="28"/>
          <w:szCs w:val="28"/>
        </w:rPr>
        <w:t>万元。</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rPr>
        <w:t>236.75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102.28</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cs="仿宋_GB2312"/>
          <w:sz w:val="28"/>
          <w:szCs w:val="28"/>
          <w:lang w:val="en-US" w:eastAsia="zh-CN"/>
        </w:rPr>
        <w:t>43.2</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少的主要原因一是机关运行经费统计口径有所变化，二是公车改革后，车辆费用下降明显。(行政单位)</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640" w:lineRule="exact"/>
        <w:ind w:left="0" w:leftChars="0"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截止2020年12月31日，本部门共有车辆4辆，其中，领导干部用车0辆、一般公务用车0辆、一般执法执勤用车4辆；单位价值50万元以上通用设备0台（套），单价100万元以上专用设备0台（套）。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640" w:lineRule="exact"/>
        <w:ind w:left="0" w:leftChars="0"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本部门2020年度政府采购支出总额102.56万元，其中：政府采购货物支出45.3万元、政府采购工程支出37.36万元、政府采购服务支出19.9万元。授予中小企业合同金额0万元，占政府采购支出总额的0%。</w:t>
      </w:r>
    </w:p>
    <w:p>
      <w:pPr>
        <w:keepNext w:val="0"/>
        <w:keepLines w:val="0"/>
        <w:pageBreakBefore w:val="0"/>
        <w:kinsoku/>
        <w:wordWrap/>
        <w:overflowPunct/>
        <w:topLinePunct w:val="0"/>
        <w:autoSpaceDE/>
        <w:autoSpaceDN/>
        <w:bidi w:val="0"/>
        <w:adjustRightInd/>
        <w:snapToGrid/>
        <w:spacing w:line="640" w:lineRule="exact"/>
        <w:ind w:left="0" w:leftChars="0"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他用车0辆，其他用车主要是已报废；单位价值50万元以上通用设备0台（套），单价100万元以上专用设备0台（套）。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640" w:lineRule="exact"/>
        <w:ind w:left="0" w:leftChars="0"/>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0</w:t>
      </w:r>
      <w:r>
        <w:rPr>
          <w:rFonts w:hint="eastAsia" w:ascii="宋体" w:hAnsi="宋体"/>
          <w:sz w:val="28"/>
          <w:szCs w:val="28"/>
        </w:rPr>
        <w:t>%。</w:t>
      </w:r>
    </w:p>
    <w:p>
      <w:pPr>
        <w:keepNext w:val="0"/>
        <w:keepLines w:val="0"/>
        <w:pageBreakBefore w:val="0"/>
        <w:numPr>
          <w:ilvl w:val="0"/>
          <w:numId w:val="4"/>
        </w:numPr>
        <w:kinsoku/>
        <w:wordWrap/>
        <w:overflowPunct/>
        <w:topLinePunct w:val="0"/>
        <w:autoSpaceDE/>
        <w:autoSpaceDN/>
        <w:bidi w:val="0"/>
        <w:adjustRightInd/>
        <w:snapToGrid/>
        <w:spacing w:line="64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政府性基金支出情况</w:t>
      </w:r>
    </w:p>
    <w:p>
      <w:pPr>
        <w:keepNext w:val="0"/>
        <w:keepLines w:val="0"/>
        <w:pageBreakBefore w:val="0"/>
        <w:numPr>
          <w:numId w:val="0"/>
        </w:numPr>
        <w:kinsoku/>
        <w:wordWrap/>
        <w:overflowPunct/>
        <w:topLinePunct w:val="0"/>
        <w:autoSpaceDE/>
        <w:autoSpaceDN/>
        <w:bidi w:val="0"/>
        <w:adjustRightInd/>
        <w:snapToGrid/>
        <w:spacing w:line="640" w:lineRule="exact"/>
        <w:ind w:left="640" w:leftChars="0"/>
        <w:textAlignment w:val="auto"/>
        <w:rPr>
          <w:rFonts w:hint="eastAsia" w:ascii="宋体" w:hAnsi="宋体"/>
          <w:sz w:val="28"/>
          <w:szCs w:val="28"/>
        </w:rPr>
      </w:pPr>
      <w:bookmarkStart w:id="0" w:name="_GoBack"/>
      <w:bookmarkEnd w:id="0"/>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keepNext w:val="0"/>
        <w:keepLines w:val="0"/>
        <w:pageBreakBefore w:val="0"/>
        <w:kinsoku/>
        <w:wordWrap/>
        <w:overflowPunct/>
        <w:topLinePunct w:val="0"/>
        <w:autoSpaceDE/>
        <w:autoSpaceDN/>
        <w:bidi w:val="0"/>
        <w:adjustRightInd/>
        <w:snapToGrid/>
        <w:spacing w:line="640" w:lineRule="exact"/>
        <w:ind w:left="0" w:leftChars="0"/>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64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64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shd w:val="clear" w:color="auto" w:fill="FFFFFF"/>
        <w:kinsoku/>
        <w:wordWrap/>
        <w:overflowPunct/>
        <w:topLinePunct w:val="0"/>
        <w:autoSpaceDE/>
        <w:autoSpaceDN/>
        <w:bidi w:val="0"/>
        <w:adjustRightInd/>
        <w:snapToGrid/>
        <w:spacing w:line="640" w:lineRule="exact"/>
        <w:ind w:left="0" w:leftChars="0" w:firstLine="636"/>
        <w:textAlignment w:val="auto"/>
        <w:rPr>
          <w:rFonts w:hint="eastAsia" w:ascii="宋体" w:hAnsi="宋体" w:cs="仿宋_GB2312"/>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left"/>
        <w:textAlignment w:val="auto"/>
        <w:rPr>
          <w:rFonts w:ascii="宋体" w:hAnsi="宋体" w:cs="宋体"/>
          <w:kern w:val="0"/>
          <w:sz w:val="24"/>
        </w:rPr>
      </w:pPr>
      <w:r>
        <w:rPr>
          <w:rFonts w:hint="eastAsia" w:ascii="宋体" w:hAnsi="宋体" w:cs="宋体"/>
          <w:color w:val="000000"/>
          <w:kern w:val="0"/>
          <w:sz w:val="22"/>
          <w:szCs w:val="22"/>
        </w:rPr>
        <w:t xml:space="preserve"> </w:t>
      </w:r>
    </w:p>
    <w:p>
      <w:pPr>
        <w:keepNext w:val="0"/>
        <w:keepLines w:val="0"/>
        <w:pageBreakBefore w:val="0"/>
        <w:kinsoku/>
        <w:wordWrap/>
        <w:overflowPunct/>
        <w:topLinePunct w:val="0"/>
        <w:autoSpaceDE/>
        <w:autoSpaceDN/>
        <w:bidi w:val="0"/>
        <w:adjustRightInd/>
        <w:snapToGrid/>
        <w:spacing w:line="640" w:lineRule="exact"/>
        <w:ind w:left="0" w:leftChars="0" w:firstLine="289"/>
        <w:textAlignment w:val="auto"/>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ascii="宋体" w:hAnsi="宋体"/>
          <w:sz w:val="28"/>
          <w:szCs w:val="28"/>
        </w:rPr>
      </w:pPr>
      <w:r>
        <w:rPr>
          <w:rFonts w:hint="eastAsia" w:ascii="宋体" w:hAnsi="宋体"/>
          <w:sz w:val="28"/>
          <w:szCs w:val="28"/>
        </w:rPr>
        <w:t>2.收入决算表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ascii="宋体" w:hAnsi="宋体"/>
          <w:sz w:val="28"/>
          <w:szCs w:val="28"/>
        </w:rPr>
      </w:pPr>
      <w:r>
        <w:rPr>
          <w:rFonts w:hint="eastAsia" w:ascii="宋体" w:hAnsi="宋体"/>
          <w:sz w:val="28"/>
          <w:szCs w:val="28"/>
        </w:rPr>
        <w:t>3.支出决算表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ascii="宋体" w:hAnsi="宋体"/>
          <w:sz w:val="28"/>
          <w:szCs w:val="28"/>
        </w:rPr>
      </w:pPr>
      <w:r>
        <w:rPr>
          <w:rFonts w:hint="eastAsia" w:ascii="宋体" w:hAnsi="宋体"/>
          <w:sz w:val="28"/>
          <w:szCs w:val="28"/>
        </w:rPr>
        <w:t>4.财政拨款收入支出决算总表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ascii="宋体" w:hAnsi="宋体"/>
          <w:sz w:val="28"/>
          <w:szCs w:val="28"/>
        </w:rPr>
      </w:pPr>
      <w:r>
        <w:rPr>
          <w:rFonts w:hint="eastAsia" w:ascii="宋体" w:hAnsi="宋体"/>
          <w:sz w:val="28"/>
          <w:szCs w:val="28"/>
        </w:rPr>
        <w:t>5.一般公共预算财政拨款支出决算表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hint="eastAsia" w:ascii="宋体" w:hAnsi="宋体"/>
          <w:sz w:val="28"/>
          <w:szCs w:val="28"/>
        </w:rPr>
      </w:pPr>
      <w:r>
        <w:rPr>
          <w:rFonts w:hint="eastAsia" w:ascii="宋体" w:hAnsi="宋体"/>
          <w:sz w:val="28"/>
          <w:szCs w:val="28"/>
        </w:rPr>
        <w:t>6.一般公共预算财政拨款基本支出决算表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keepNext w:val="0"/>
        <w:keepLines w:val="0"/>
        <w:pageBreakBefore w:val="0"/>
        <w:kinsoku/>
        <w:wordWrap/>
        <w:overflowPunct/>
        <w:topLinePunct w:val="0"/>
        <w:autoSpaceDE/>
        <w:autoSpaceDN/>
        <w:bidi w:val="0"/>
        <w:adjustRightInd/>
        <w:snapToGrid/>
        <w:spacing w:line="640" w:lineRule="exact"/>
        <w:ind w:left="0" w:leftChars="0" w:firstLine="1092" w:firstLineChars="390"/>
        <w:textAlignment w:val="auto"/>
        <w:rPr>
          <w:rFonts w:hint="default" w:ascii="宋体" w:hAnsi="宋体"/>
          <w:sz w:val="28"/>
          <w:szCs w:val="28"/>
          <w:lang w:val="en-US" w:eastAsia="zh-CN"/>
        </w:rPr>
      </w:pPr>
      <w:r>
        <w:rPr>
          <w:rFonts w:hint="eastAsia" w:ascii="宋体" w:hAnsi="宋体"/>
          <w:sz w:val="28"/>
          <w:szCs w:val="28"/>
          <w:lang w:val="en-US" w:eastAsia="zh-CN"/>
        </w:rPr>
        <w:t>10.政府采购表</w:t>
      </w:r>
    </w:p>
    <w:p>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_GB2312" w:eastAsia="仿宋_GB2312"/>
          <w:sz w:val="28"/>
          <w:szCs w:val="28"/>
          <w:u w:val="thick"/>
          <w:lang w:val="en-US" w:eastAsia="zh-CN"/>
        </w:rPr>
      </w:pPr>
    </w:p>
    <w:p>
      <w:pPr>
        <w:keepNext w:val="0"/>
        <w:keepLines w:val="0"/>
        <w:pageBreakBefore w:val="0"/>
        <w:kinsoku/>
        <w:wordWrap/>
        <w:overflowPunct/>
        <w:topLinePunct w:val="0"/>
        <w:autoSpaceDE/>
        <w:autoSpaceDN/>
        <w:bidi w:val="0"/>
        <w:adjustRightInd/>
        <w:snapToGrid/>
        <w:spacing w:line="640" w:lineRule="exact"/>
        <w:textAlignment w:val="auto"/>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DC77D"/>
    <w:multiLevelType w:val="singleLevel"/>
    <w:tmpl w:val="A8EDC77D"/>
    <w:lvl w:ilvl="0" w:tentative="0">
      <w:start w:val="9"/>
      <w:numFmt w:val="chineseCounting"/>
      <w:suff w:val="nothing"/>
      <w:lvlText w:val="%1、"/>
      <w:lvlJc w:val="left"/>
      <w:pPr>
        <w:ind w:left="640" w:leftChars="0" w:firstLine="0" w:firstLineChars="0"/>
      </w:pPr>
      <w:rPr>
        <w:rFonts w:hint="eastAsia"/>
      </w:rPr>
    </w:lvl>
  </w:abstractNum>
  <w:abstractNum w:abstractNumId="1">
    <w:nsid w:val="C6F12942"/>
    <w:multiLevelType w:val="singleLevel"/>
    <w:tmpl w:val="C6F12942"/>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abstractNum w:abstractNumId="3">
    <w:nsid w:val="6ABCC5C9"/>
    <w:multiLevelType w:val="singleLevel"/>
    <w:tmpl w:val="6ABCC5C9"/>
    <w:lvl w:ilvl="0" w:tentative="0">
      <w:start w:val="3"/>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4F516E3"/>
    <w:rsid w:val="07A67826"/>
    <w:rsid w:val="0D587AA1"/>
    <w:rsid w:val="0E640E9C"/>
    <w:rsid w:val="0F290568"/>
    <w:rsid w:val="13356199"/>
    <w:rsid w:val="19577149"/>
    <w:rsid w:val="214A2E24"/>
    <w:rsid w:val="28D9231D"/>
    <w:rsid w:val="37C77549"/>
    <w:rsid w:val="39FF2C85"/>
    <w:rsid w:val="3E9C1AB7"/>
    <w:rsid w:val="41EC28B1"/>
    <w:rsid w:val="44FA13FB"/>
    <w:rsid w:val="4E7E7EEC"/>
    <w:rsid w:val="50DA6E4E"/>
    <w:rsid w:val="70A64890"/>
    <w:rsid w:val="7A5321A5"/>
    <w:rsid w:val="7DB74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