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崇信县人力资源和社会保障局（汇总）</w:t>
      </w:r>
      <w:r>
        <w:rPr>
          <w:rFonts w:hint="eastAsia" w:ascii="方正小标宋简体" w:hAnsi="方正小标宋简体" w:eastAsia="方正小标宋简体" w:cs="方正小标宋简体"/>
          <w:sz w:val="44"/>
          <w:szCs w:val="44"/>
          <w:lang w:val="en-US" w:eastAsia="zh-CN"/>
        </w:rPr>
        <w:t xml:space="preserve">    </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keepNext w:val="0"/>
        <w:keepLines w:val="0"/>
        <w:pageBreakBefore w:val="0"/>
        <w:numPr>
          <w:ilvl w:val="0"/>
          <w:numId w:val="1"/>
        </w:numPr>
        <w:kinsoku/>
        <w:wordWrap/>
        <w:overflowPunct/>
        <w:topLinePunct w:val="0"/>
        <w:autoSpaceDE/>
        <w:autoSpaceDN/>
        <w:bidi w:val="0"/>
        <w:adjustRightInd/>
        <w:snapToGrid/>
        <w:spacing w:line="500" w:lineRule="exact"/>
        <w:ind w:firstLine="636"/>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sz w:val="32"/>
          <w:szCs w:val="32"/>
        </w:rPr>
      </w:pPr>
      <w:r>
        <w:rPr>
          <w:rFonts w:hint="eastAsia" w:ascii="仿宋_GB2312" w:hAnsi="仿宋" w:eastAsia="仿宋_GB2312"/>
          <w:sz w:val="32"/>
          <w:szCs w:val="32"/>
        </w:rPr>
        <w:t>贯彻实施国家和省、市人力资源和社会保障事业发展规划、政策;拟订全县人力资源和社会保障事业发展规划、政策和专业技术人才中长期发展规划，并组织实施和监督检查。拟订全县人力资源市场发展规划和人力资源流动政策；会同有关部门组织实施全县机关、事业单位人员工资收入分配政策，建立机关、企事业单位人员工资正常增长和支付保障机制，负责全县机关、企事业单位人员福利和离退休管理工作。制定全县专业技术人员管理和继续教育政策，开展专业技术人员继续教育。</w:t>
      </w:r>
    </w:p>
    <w:p>
      <w:pPr>
        <w:keepNext w:val="0"/>
        <w:keepLines w:val="0"/>
        <w:pageBreakBefore w:val="0"/>
        <w:numPr>
          <w:ilvl w:val="0"/>
          <w:numId w:val="2"/>
        </w:numPr>
        <w:kinsoku/>
        <w:wordWrap/>
        <w:overflowPunct/>
        <w:topLinePunct w:val="0"/>
        <w:autoSpaceDE/>
        <w:autoSpaceDN/>
        <w:bidi w:val="0"/>
        <w:adjustRightInd/>
        <w:snapToGrid/>
        <w:spacing w:line="500" w:lineRule="exact"/>
        <w:ind w:firstLine="648"/>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属财政全额拨款的行政单位，执行</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会计制度</w:t>
      </w:r>
      <w:r>
        <w:rPr>
          <w:rFonts w:hint="eastAsia" w:ascii="仿宋_GB2312" w:hAnsi="仿宋_GB2312" w:eastAsia="仿宋_GB2312" w:cs="仿宋_GB2312"/>
          <w:sz w:val="32"/>
          <w:szCs w:val="32"/>
          <w:lang w:eastAsia="zh-CN"/>
        </w:rPr>
        <w:t>。下设参公单位人才中心和内设股室工资办、职称办。下属财务独立单位为：劳务办、培训中心、就业中心、社保中心、劳动监察大队。</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6"/>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w:t>
      </w:r>
      <w:r>
        <w:rPr>
          <w:rFonts w:hint="eastAsia" w:ascii="仿宋_GB2312" w:hAnsi="仿宋_GB2312" w:eastAsia="仿宋_GB2312" w:cs="仿宋_GB2312"/>
          <w:sz w:val="32"/>
          <w:szCs w:val="32"/>
          <w:shd w:val="clear" w:color="auto" w:fill="FFFFFF"/>
          <w:lang w:val="en-US" w:eastAsia="zh-CN"/>
        </w:rPr>
        <w:t>20</w:t>
      </w:r>
      <w:r>
        <w:rPr>
          <w:rFonts w:hint="eastAsia" w:ascii="仿宋_GB2312" w:hAnsi="仿宋_GB2312" w:eastAsia="仿宋_GB2312" w:cs="仿宋_GB2312"/>
          <w:sz w:val="32"/>
          <w:szCs w:val="32"/>
          <w:shd w:val="clear" w:color="auto" w:fill="FFFFFF"/>
        </w:rPr>
        <w:t>年，县人社局</w:t>
      </w:r>
      <w:r>
        <w:rPr>
          <w:rFonts w:hint="eastAsia" w:ascii="仿宋_GB2312" w:hAnsi="仿宋_GB2312" w:eastAsia="仿宋_GB2312" w:cs="仿宋_GB2312"/>
          <w:sz w:val="32"/>
          <w:szCs w:val="32"/>
          <w:shd w:val="clear" w:color="auto" w:fill="FFFFFF"/>
          <w:lang w:eastAsia="zh-CN"/>
        </w:rPr>
        <w:t>（汇总）</w:t>
      </w:r>
      <w:r>
        <w:rPr>
          <w:rFonts w:hint="eastAsia" w:ascii="仿宋_GB2312" w:hAnsi="仿宋_GB2312" w:eastAsia="仿宋_GB2312" w:cs="仿宋_GB2312"/>
          <w:sz w:val="32"/>
          <w:szCs w:val="32"/>
          <w:shd w:val="clear" w:color="auto" w:fill="FFFFFF"/>
        </w:rPr>
        <w:t>决算总收入</w:t>
      </w:r>
      <w:r>
        <w:rPr>
          <w:rFonts w:hint="eastAsia" w:ascii="仿宋_GB2312" w:hAnsi="仿宋_GB2312" w:eastAsia="仿宋_GB2312" w:cs="仿宋_GB2312"/>
          <w:sz w:val="32"/>
          <w:szCs w:val="32"/>
          <w:shd w:val="clear" w:color="auto" w:fill="FFFFFF"/>
          <w:lang w:val="en-US" w:eastAsia="zh-CN"/>
        </w:rPr>
        <w:t>3588.11</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其中：一般预算财政拨款收入</w:t>
      </w:r>
      <w:r>
        <w:rPr>
          <w:rFonts w:hint="eastAsia" w:ascii="仿宋_GB2312" w:hAnsi="仿宋_GB2312" w:eastAsia="仿宋_GB2312" w:cs="仿宋_GB2312"/>
          <w:sz w:val="32"/>
          <w:szCs w:val="32"/>
          <w:shd w:val="clear" w:color="auto" w:fill="FFFFFF"/>
          <w:lang w:val="en-US" w:eastAsia="zh-CN"/>
        </w:rPr>
        <w:t>3434.24</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，政府性基金预算财政拨款</w:t>
      </w:r>
      <w:r>
        <w:rPr>
          <w:rFonts w:hint="eastAsia" w:ascii="仿宋_GB2312" w:hAnsi="仿宋_GB2312" w:eastAsia="仿宋_GB2312" w:cs="仿宋_GB2312"/>
          <w:sz w:val="32"/>
          <w:szCs w:val="32"/>
          <w:shd w:val="clear" w:color="auto" w:fill="FFFFFF"/>
          <w:lang w:val="en-US" w:eastAsia="zh-CN"/>
        </w:rPr>
        <w:t>153.88万元</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年末结转</w:t>
      </w:r>
      <w:r>
        <w:rPr>
          <w:rFonts w:hint="eastAsia" w:ascii="仿宋_GB2312" w:hAnsi="仿宋_GB2312" w:eastAsia="仿宋_GB2312" w:cs="仿宋_GB2312"/>
          <w:sz w:val="32"/>
          <w:szCs w:val="32"/>
          <w:shd w:val="clear" w:color="auto" w:fill="FFFFFF"/>
          <w:lang w:val="en-US" w:eastAsia="zh-CN"/>
        </w:rPr>
        <w:t>1.8万元</w:t>
      </w:r>
      <w:r>
        <w:rPr>
          <w:rFonts w:hint="eastAsia" w:ascii="仿宋_GB2312" w:hAnsi="仿宋_GB2312" w:eastAsia="仿宋_GB2312" w:cs="仿宋_GB2312"/>
          <w:sz w:val="32"/>
          <w:szCs w:val="32"/>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6"/>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shd w:val="clear" w:color="auto" w:fill="FFFFFF"/>
        </w:rPr>
        <w:t>20</w:t>
      </w:r>
      <w:r>
        <w:rPr>
          <w:rFonts w:hint="eastAsia" w:ascii="仿宋_GB2312" w:hAnsi="仿宋_GB2312" w:eastAsia="仿宋_GB2312" w:cs="仿宋_GB2312"/>
          <w:sz w:val="32"/>
          <w:szCs w:val="32"/>
          <w:shd w:val="clear" w:color="auto" w:fill="FFFFFF"/>
          <w:lang w:val="en-US" w:eastAsia="zh-CN"/>
        </w:rPr>
        <w:t>20</w:t>
      </w:r>
      <w:r>
        <w:rPr>
          <w:rFonts w:hint="eastAsia" w:ascii="仿宋_GB2312" w:hAnsi="仿宋_GB2312" w:eastAsia="仿宋_GB2312" w:cs="仿宋_GB2312"/>
          <w:sz w:val="32"/>
          <w:szCs w:val="32"/>
          <w:shd w:val="clear" w:color="auto" w:fill="FFFFFF"/>
        </w:rPr>
        <w:t>年，县人社局</w:t>
      </w:r>
      <w:r>
        <w:rPr>
          <w:rFonts w:hint="eastAsia" w:ascii="仿宋_GB2312" w:hAnsi="仿宋_GB2312" w:eastAsia="仿宋_GB2312" w:cs="仿宋_GB2312"/>
          <w:sz w:val="32"/>
          <w:szCs w:val="32"/>
          <w:shd w:val="clear" w:color="auto" w:fill="FFFFFF"/>
          <w:lang w:eastAsia="zh-CN"/>
        </w:rPr>
        <w:t>（汇总）</w:t>
      </w:r>
      <w:r>
        <w:rPr>
          <w:rFonts w:hint="eastAsia" w:ascii="仿宋_GB2312" w:hAnsi="仿宋_GB2312" w:eastAsia="仿宋_GB2312" w:cs="仿宋_GB2312"/>
          <w:sz w:val="32"/>
          <w:szCs w:val="32"/>
          <w:shd w:val="clear" w:color="auto" w:fill="FFFFFF"/>
        </w:rPr>
        <w:t>决算总支出</w:t>
      </w:r>
      <w:r>
        <w:rPr>
          <w:rFonts w:hint="eastAsia" w:ascii="仿宋_GB2312" w:hAnsi="仿宋_GB2312" w:eastAsia="仿宋_GB2312" w:cs="仿宋_GB2312"/>
          <w:sz w:val="32"/>
          <w:szCs w:val="32"/>
          <w:shd w:val="clear" w:color="auto" w:fill="FFFFFF"/>
          <w:lang w:val="en-US" w:eastAsia="zh-CN"/>
        </w:rPr>
        <w:t>3588.16</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其中：一般公共服务支出</w:t>
      </w:r>
      <w:r>
        <w:rPr>
          <w:rFonts w:hint="eastAsia" w:ascii="仿宋_GB2312" w:hAnsi="仿宋_GB2312" w:eastAsia="仿宋_GB2312" w:cs="仿宋_GB2312"/>
          <w:sz w:val="32"/>
          <w:szCs w:val="32"/>
          <w:shd w:val="clear" w:color="auto" w:fill="FFFFFF"/>
          <w:lang w:val="en-US" w:eastAsia="zh-CN"/>
        </w:rPr>
        <w:t>1135.1</w:t>
      </w:r>
      <w:r>
        <w:rPr>
          <w:rFonts w:hint="eastAsia" w:ascii="仿宋_GB2312" w:hAnsi="仿宋_GB2312" w:eastAsia="仿宋_GB2312" w:cs="仿宋_GB2312"/>
          <w:sz w:val="32"/>
          <w:szCs w:val="32"/>
          <w:shd w:val="clear" w:color="auto" w:fill="FFFFFF"/>
        </w:rPr>
        <w:t>万元，社会保障和就业支出</w:t>
      </w:r>
      <w:r>
        <w:rPr>
          <w:rFonts w:hint="eastAsia" w:ascii="仿宋_GB2312" w:hAnsi="仿宋_GB2312" w:eastAsia="仿宋_GB2312" w:cs="仿宋_GB2312"/>
          <w:sz w:val="32"/>
          <w:szCs w:val="32"/>
          <w:shd w:val="clear" w:color="auto" w:fill="FFFFFF"/>
          <w:lang w:val="en-US" w:eastAsia="zh-CN"/>
        </w:rPr>
        <w:t>1880.97</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，农林水支出</w:t>
      </w:r>
      <w:r>
        <w:rPr>
          <w:rFonts w:hint="eastAsia" w:ascii="仿宋_GB2312" w:hAnsi="仿宋_GB2312" w:eastAsia="仿宋_GB2312" w:cs="仿宋_GB2312"/>
          <w:sz w:val="32"/>
          <w:szCs w:val="32"/>
          <w:shd w:val="clear" w:color="auto" w:fill="FFFFFF"/>
          <w:lang w:val="en-US" w:eastAsia="zh-CN"/>
        </w:rPr>
        <w:t>413.21</w:t>
      </w:r>
      <w:r>
        <w:rPr>
          <w:rFonts w:hint="eastAsia" w:ascii="仿宋_GB2312" w:hAnsi="仿宋_GB2312" w:eastAsia="仿宋_GB2312" w:cs="仿宋_GB2312"/>
          <w:sz w:val="32"/>
          <w:szCs w:val="32"/>
          <w:shd w:val="clear" w:color="auto" w:fill="FFFFFF"/>
          <w:lang w:eastAsia="zh-CN"/>
        </w:rPr>
        <w:t>。年末结转</w:t>
      </w:r>
      <w:r>
        <w:rPr>
          <w:rFonts w:hint="eastAsia" w:ascii="仿宋_GB2312" w:hAnsi="仿宋_GB2312" w:eastAsia="仿宋_GB2312" w:cs="仿宋_GB2312"/>
          <w:sz w:val="32"/>
          <w:szCs w:val="32"/>
          <w:shd w:val="clear" w:color="auto" w:fill="FFFFFF"/>
          <w:lang w:val="en-US" w:eastAsia="zh-CN"/>
        </w:rPr>
        <w:t>1.75万元</w:t>
      </w:r>
      <w:r>
        <w:rPr>
          <w:rFonts w:hint="eastAsia" w:ascii="仿宋_GB2312" w:hAnsi="仿宋_GB2312" w:eastAsia="仿宋_GB2312" w:cs="仿宋_GB2312"/>
          <w:sz w:val="32"/>
          <w:szCs w:val="32"/>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黑体" w:cs="仿宋_GB2312"/>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648" w:leftChars="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财政拨款支出决算情况</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6"/>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0</w:t>
      </w:r>
      <w:r>
        <w:rPr>
          <w:rFonts w:hint="eastAsia" w:ascii="仿宋_GB2312" w:hAnsi="仿宋_GB2312" w:eastAsia="仿宋_GB2312" w:cs="仿宋_GB2312"/>
          <w:sz w:val="32"/>
          <w:szCs w:val="32"/>
          <w:shd w:val="clear" w:color="auto" w:fill="FFFFFF"/>
          <w:lang w:val="en-US" w:eastAsia="zh-CN"/>
        </w:rPr>
        <w:t>20</w:t>
      </w:r>
      <w:r>
        <w:rPr>
          <w:rFonts w:hint="eastAsia" w:ascii="仿宋_GB2312" w:hAnsi="仿宋_GB2312" w:eastAsia="仿宋_GB2312" w:cs="仿宋_GB2312"/>
          <w:sz w:val="32"/>
          <w:szCs w:val="32"/>
          <w:shd w:val="clear" w:color="auto" w:fill="FFFFFF"/>
        </w:rPr>
        <w:t>年，县人社局</w:t>
      </w:r>
      <w:r>
        <w:rPr>
          <w:rFonts w:hint="eastAsia" w:ascii="仿宋_GB2312" w:hAnsi="仿宋_GB2312" w:eastAsia="仿宋_GB2312" w:cs="仿宋_GB2312"/>
          <w:sz w:val="32"/>
          <w:szCs w:val="32"/>
          <w:shd w:val="clear" w:color="auto" w:fill="FFFFFF"/>
          <w:lang w:eastAsia="zh-CN"/>
        </w:rPr>
        <w:t>（汇总）</w:t>
      </w:r>
      <w:r>
        <w:rPr>
          <w:rFonts w:hint="eastAsia" w:ascii="仿宋_GB2312" w:hAnsi="仿宋_GB2312" w:eastAsia="仿宋_GB2312" w:cs="仿宋_GB2312"/>
          <w:sz w:val="32"/>
          <w:szCs w:val="32"/>
          <w:shd w:val="clear" w:color="auto" w:fill="FFFFFF"/>
        </w:rPr>
        <w:t>财政拨款支出主要用于保障人事工作正常运转、完成日常工作任务以及县委、县政府交办的相关工作。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6"/>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基本支出，是用于保障机关正常运转的日常支出，包括基本工资、津贴补贴等人员经费以及办公费、印刷费、水电费、办公设备购置等日常公用经费。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6"/>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主要用于以下方面:</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6"/>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1.工资及福利支出</w:t>
      </w:r>
      <w:r>
        <w:rPr>
          <w:rFonts w:hint="eastAsia" w:ascii="仿宋_GB2312" w:hAnsi="仿宋_GB2312" w:eastAsia="仿宋_GB2312" w:cs="仿宋_GB2312"/>
          <w:sz w:val="32"/>
          <w:szCs w:val="32"/>
          <w:shd w:val="clear" w:color="auto" w:fill="FFFFFF"/>
          <w:lang w:val="en-US" w:eastAsia="zh-CN"/>
        </w:rPr>
        <w:t>508.98</w:t>
      </w:r>
      <w:r>
        <w:rPr>
          <w:rFonts w:hint="eastAsia" w:ascii="仿宋_GB2312" w:hAnsi="仿宋_GB2312" w:eastAsia="仿宋_GB2312" w:cs="仿宋_GB2312"/>
          <w:sz w:val="32"/>
          <w:szCs w:val="32"/>
          <w:shd w:val="clear" w:color="auto" w:fill="FFFFFF"/>
        </w:rPr>
        <w:t>万元。</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6"/>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2.商品和服务支出</w:t>
      </w:r>
      <w:r>
        <w:rPr>
          <w:rFonts w:hint="eastAsia" w:ascii="仿宋_GB2312" w:hAnsi="仿宋_GB2312" w:eastAsia="仿宋_GB2312" w:cs="仿宋_GB2312"/>
          <w:sz w:val="32"/>
          <w:szCs w:val="32"/>
          <w:shd w:val="clear" w:color="auto" w:fill="FFFFFF"/>
          <w:lang w:val="en-US" w:eastAsia="zh-CN"/>
        </w:rPr>
        <w:t>168.57</w:t>
      </w:r>
      <w:r>
        <w:rPr>
          <w:rFonts w:hint="eastAsia" w:ascii="仿宋_GB2312" w:hAnsi="仿宋_GB2312" w:eastAsia="仿宋_GB2312" w:cs="仿宋_GB2312"/>
          <w:sz w:val="32"/>
          <w:szCs w:val="32"/>
          <w:shd w:val="clear" w:color="auto" w:fill="FFFFFF"/>
        </w:rPr>
        <w:t>万元。</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646"/>
        <w:jc w:val="left"/>
        <w:textAlignment w:val="auto"/>
        <w:rPr>
          <w:rFonts w:hint="eastAsia" w:ascii="黑体" w:hAnsi="黑体" w:eastAsia="黑体" w:cs="黑体"/>
          <w:sz w:val="32"/>
          <w:szCs w:val="32"/>
        </w:rPr>
      </w:pPr>
      <w:r>
        <w:rPr>
          <w:rFonts w:hint="eastAsia" w:ascii="仿宋_GB2312" w:hAnsi="仿宋_GB2312" w:eastAsia="仿宋_GB2312" w:cs="仿宋_GB2312"/>
          <w:sz w:val="32"/>
          <w:szCs w:val="32"/>
          <w:shd w:val="clear" w:color="auto" w:fill="FFFFFF"/>
        </w:rPr>
        <w:t>3.个人和家庭的补助支出</w:t>
      </w:r>
      <w:r>
        <w:rPr>
          <w:rFonts w:hint="eastAsia" w:ascii="仿宋_GB2312" w:hAnsi="仿宋_GB2312" w:eastAsia="仿宋_GB2312" w:cs="仿宋_GB2312"/>
          <w:sz w:val="32"/>
          <w:szCs w:val="32"/>
          <w:shd w:val="clear" w:color="auto" w:fill="FFFFFF"/>
          <w:lang w:val="en-US" w:eastAsia="zh-CN"/>
        </w:rPr>
        <w:t>2497.34</w:t>
      </w:r>
      <w:r>
        <w:rPr>
          <w:rFonts w:hint="eastAsia" w:ascii="仿宋_GB2312" w:hAnsi="仿宋_GB2312" w:eastAsia="仿宋_GB2312" w:cs="仿宋_GB2312"/>
          <w:sz w:val="32"/>
          <w:szCs w:val="32"/>
          <w:shd w:val="clear" w:color="auto" w:fill="FFFFFF"/>
        </w:rPr>
        <w:t>万元。</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年“三公”经费支出合计</w:t>
      </w:r>
      <w:r>
        <w:rPr>
          <w:rFonts w:hint="eastAsia" w:ascii="仿宋_GB2312" w:hAnsi="仿宋_GB2312" w:eastAsia="仿宋_GB2312" w:cs="仿宋_GB2312"/>
          <w:sz w:val="32"/>
          <w:szCs w:val="32"/>
          <w:lang w:val="en-US" w:eastAsia="zh-CN"/>
        </w:rPr>
        <w:t>0.28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0.28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持平</w:t>
      </w:r>
      <w:r>
        <w:rPr>
          <w:rFonts w:hint="eastAsia" w:ascii="仿宋_GB2312" w:hAnsi="仿宋_GB2312" w:eastAsia="仿宋_GB2312" w:cs="仿宋_GB2312"/>
          <w:sz w:val="32"/>
          <w:szCs w:val="32"/>
        </w:rPr>
        <w:t>。具体为：</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1.因公出国（境）费用0万元。本年度单位无出国（境）情况。</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公务用车购置和运行费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万元。公务用车保有量</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年无公务用车购置费,比201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年相比减少了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辆交公务用车服务平台使用，</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辆已由机关事务管理局拍买）。公务用车运行维护费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3.公务接待费</w:t>
      </w:r>
      <w:r>
        <w:rPr>
          <w:rFonts w:hint="eastAsia" w:ascii="仿宋_GB2312" w:hAnsi="仿宋_GB2312" w:eastAsia="仿宋_GB2312" w:cs="仿宋_GB2312"/>
          <w:sz w:val="32"/>
          <w:szCs w:val="32"/>
          <w:lang w:val="en-US" w:eastAsia="zh-CN"/>
        </w:rPr>
        <w:t>0.28</w:t>
      </w:r>
      <w:r>
        <w:rPr>
          <w:rFonts w:hint="eastAsia" w:ascii="仿宋_GB2312" w:hAnsi="仿宋_GB2312" w:eastAsia="仿宋_GB2312" w:cs="仿宋_GB2312"/>
          <w:sz w:val="32"/>
          <w:szCs w:val="32"/>
        </w:rPr>
        <w:t>万元。主要用于按规定开支的种类公务接待支出。比201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年增加了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万元，增幅</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%。接待</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人次。主要是</w:t>
      </w:r>
      <w:r>
        <w:rPr>
          <w:rFonts w:hint="eastAsia" w:ascii="仿宋_GB2312" w:hAnsi="仿宋_GB2312" w:eastAsia="仿宋_GB2312" w:cs="仿宋_GB2312"/>
          <w:sz w:val="32"/>
          <w:szCs w:val="32"/>
          <w:lang w:eastAsia="zh-CN"/>
        </w:rPr>
        <w:t>县上组织考试工作人员餐费支出</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六、机关运行经费支出情况</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年度我局机关运行经费支出总额</w:t>
      </w:r>
      <w:r>
        <w:rPr>
          <w:rFonts w:hint="eastAsia" w:ascii="仿宋_GB2312" w:hAnsi="仿宋_GB2312" w:eastAsia="仿宋_GB2312" w:cs="仿宋_GB2312"/>
          <w:sz w:val="32"/>
          <w:szCs w:val="32"/>
          <w:lang w:val="en-US" w:eastAsia="zh-CN"/>
        </w:rPr>
        <w:t>412.44</w:t>
      </w:r>
      <w:r>
        <w:rPr>
          <w:rFonts w:hint="eastAsia" w:ascii="仿宋_GB2312" w:hAnsi="仿宋_GB2312" w:eastAsia="仿宋_GB2312" w:cs="仿宋_GB2312"/>
          <w:sz w:val="32"/>
          <w:szCs w:val="32"/>
        </w:rPr>
        <w:t>万元，与201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年相比较，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了</w:t>
      </w:r>
      <w:r>
        <w:rPr>
          <w:rFonts w:hint="eastAsia" w:ascii="仿宋_GB2312" w:hAnsi="仿宋_GB2312" w:eastAsia="仿宋_GB2312" w:cs="仿宋_GB2312"/>
          <w:sz w:val="32"/>
          <w:szCs w:val="32"/>
          <w:lang w:val="en-US" w:eastAsia="zh-CN"/>
        </w:rPr>
        <w:t>238.17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w:t>
      </w:r>
      <w:r>
        <w:rPr>
          <w:rFonts w:hint="eastAsia" w:ascii="仿宋_GB2312" w:hAnsi="仿宋_GB2312" w:eastAsia="仿宋_GB2312" w:cs="仿宋_GB2312"/>
          <w:sz w:val="32"/>
          <w:szCs w:val="32"/>
        </w:rPr>
        <w:t>幅</w:t>
      </w:r>
      <w:r>
        <w:rPr>
          <w:rFonts w:hint="eastAsia" w:ascii="仿宋_GB2312" w:hAnsi="仿宋_GB2312" w:eastAsia="仿宋_GB2312" w:cs="仿宋_GB2312"/>
          <w:sz w:val="32"/>
          <w:szCs w:val="32"/>
          <w:lang w:val="en-US" w:eastAsia="zh-CN"/>
        </w:rPr>
        <w:t>57.4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的主要原因</w:t>
      </w:r>
      <w:r>
        <w:rPr>
          <w:rFonts w:hint="eastAsia" w:ascii="仿宋_GB2312" w:hAnsi="仿宋_GB2312" w:eastAsia="仿宋_GB2312" w:cs="仿宋_GB2312"/>
          <w:sz w:val="32"/>
          <w:szCs w:val="32"/>
          <w:lang w:eastAsia="zh-CN"/>
        </w:rPr>
        <w:t>项目资金劳务产业助推脱贫攻坚和抗疫特别国债（贷款贴息）增加。</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jc w:val="left"/>
        <w:textAlignment w:val="auto"/>
        <w:rPr>
          <w:rFonts w:ascii="黑体" w:hAnsi="黑体" w:eastAsia="黑体" w:cs="黑体"/>
          <w:sz w:val="32"/>
          <w:szCs w:val="32"/>
        </w:rPr>
      </w:pPr>
      <w:r>
        <w:rPr>
          <w:rFonts w:hint="eastAsia" w:ascii="黑体" w:hAnsi="黑体" w:eastAsia="黑体" w:cs="黑体"/>
          <w:sz w:val="32"/>
          <w:szCs w:val="32"/>
        </w:rPr>
        <w:t>七、国有资产占用及政府采购支出情况</w:t>
      </w:r>
    </w:p>
    <w:p>
      <w:pPr>
        <w:keepNext w:val="0"/>
        <w:keepLines w:val="0"/>
        <w:pageBreakBefore w:val="0"/>
        <w:kinsoku/>
        <w:wordWrap/>
        <w:overflowPunct/>
        <w:topLinePunct w:val="0"/>
        <w:autoSpaceDE/>
        <w:autoSpaceDN/>
        <w:bidi w:val="0"/>
        <w:adjustRightInd/>
        <w:snapToGrid/>
        <w:spacing w:line="500" w:lineRule="exact"/>
        <w:ind w:firstLine="648"/>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止2020年12月31日，本部门共有车辆0辆，其中，领导干部用车0辆、一般公务用车0辆、一般执法执勤用车0辆、特种专业技术用车0辆、其他用车0辆0；单位价值50万元以上通用设备0台（套），单价100万元以上专用设备0台（套）。</w:t>
      </w:r>
    </w:p>
    <w:p>
      <w:pPr>
        <w:keepNext w:val="0"/>
        <w:keepLines w:val="0"/>
        <w:pageBreakBefore w:val="0"/>
        <w:kinsoku/>
        <w:wordWrap/>
        <w:overflowPunct/>
        <w:topLinePunct w:val="0"/>
        <w:autoSpaceDE/>
        <w:autoSpaceDN/>
        <w:bidi w:val="0"/>
        <w:adjustRightInd/>
        <w:snapToGrid/>
        <w:spacing w:line="500" w:lineRule="exact"/>
        <w:ind w:firstLine="648"/>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本部门2020年度政府采购支出总额12.24万元，其中：政府采购货物支出12.24万元、政府采购工程支出0万元、政府采购服务支出0万元。授予中小企业合同金额0万元，占政府采购支出总额的0%。</w:t>
      </w:r>
    </w:p>
    <w:p>
      <w:pPr>
        <w:keepNext w:val="0"/>
        <w:keepLines w:val="0"/>
        <w:pageBreakBefore w:val="0"/>
        <w:kinsoku/>
        <w:wordWrap/>
        <w:overflowPunct/>
        <w:topLinePunct w:val="0"/>
        <w:autoSpaceDE/>
        <w:autoSpaceDN/>
        <w:bidi w:val="0"/>
        <w:adjustRightInd/>
        <w:snapToGrid/>
        <w:spacing w:line="500" w:lineRule="exact"/>
        <w:textAlignment w:val="auto"/>
      </w:pPr>
      <w:r>
        <w:rPr>
          <w:rFonts w:ascii="黑体" w:hAnsi="黑体" w:eastAsia="黑体" w:cs="黑体"/>
          <w:sz w:val="32"/>
          <w:szCs w:val="32"/>
        </w:rPr>
        <w:t xml:space="preserve">    </w:t>
      </w:r>
      <w:r>
        <w:rPr>
          <w:rFonts w:hint="eastAsia" w:ascii="黑体" w:hAnsi="黑体" w:eastAsia="黑体" w:cs="黑体"/>
          <w:sz w:val="32"/>
          <w:szCs w:val="32"/>
        </w:rPr>
        <w:t>八、部门预算绩效评价情况</w:t>
      </w:r>
    </w:p>
    <w:p>
      <w:pPr>
        <w:keepNext w:val="0"/>
        <w:keepLines w:val="0"/>
        <w:pageBreakBefore w:val="0"/>
        <w:kinsoku/>
        <w:wordWrap/>
        <w:overflowPunct/>
        <w:topLinePunct w:val="0"/>
        <w:autoSpaceDE/>
        <w:autoSpaceDN/>
        <w:bidi w:val="0"/>
        <w:adjustRightInd/>
        <w:snapToGrid/>
        <w:spacing w:line="500" w:lineRule="exact"/>
        <w:ind w:firstLine="6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根据财政预算管理要求，我</w:t>
      </w:r>
      <w:r>
        <w:rPr>
          <w:rFonts w:hint="eastAsia" w:ascii="仿宋_GB2312" w:hAnsi="仿宋_GB2312" w:eastAsia="仿宋_GB2312" w:cs="仿宋_GB2312"/>
          <w:sz w:val="32"/>
          <w:szCs w:val="32"/>
          <w:lang w:eastAsia="zh-CN"/>
        </w:rPr>
        <w:t>部门自行</w:t>
      </w:r>
      <w:r>
        <w:rPr>
          <w:rFonts w:hint="eastAsia" w:ascii="仿宋_GB2312" w:hAnsi="仿宋_GB2312" w:eastAsia="仿宋_GB2312" w:cs="仿宋_GB2312"/>
          <w:sz w:val="32"/>
          <w:szCs w:val="32"/>
        </w:rPr>
        <w:t>组织对20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年度一般公共预算项目支出开展绩效评价。</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rPr>
        <w:t>涉及资金</w:t>
      </w:r>
      <w:r>
        <w:rPr>
          <w:rFonts w:hint="eastAsia" w:ascii="仿宋_GB2312" w:hAnsi="仿宋_GB2312" w:eastAsia="仿宋_GB2312" w:cs="仿宋_GB2312"/>
          <w:sz w:val="32"/>
          <w:szCs w:val="32"/>
          <w:lang w:val="en-US" w:eastAsia="zh-CN"/>
        </w:rPr>
        <w:t>3588.16</w:t>
      </w:r>
      <w:r>
        <w:rPr>
          <w:rFonts w:hint="eastAsia" w:ascii="仿宋_GB2312" w:hAnsi="仿宋_GB2312" w:eastAsia="仿宋_GB2312" w:cs="仿宋_GB2312"/>
          <w:sz w:val="32"/>
          <w:szCs w:val="32"/>
        </w:rPr>
        <w:t>万元，占一般公共预算项目支出</w:t>
      </w:r>
      <w:r>
        <w:rPr>
          <w:rFonts w:hint="eastAsia" w:ascii="仿宋_GB2312" w:hAnsi="仿宋_GB2312" w:eastAsia="仿宋_GB2312" w:cs="仿宋_GB2312"/>
          <w:sz w:val="32"/>
          <w:szCs w:val="32"/>
          <w:lang w:eastAsia="zh-CN"/>
        </w:rPr>
        <w:t>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劳务产业助推脱贫攻坚和抗疫特别国债（贷款贴息）</w:t>
      </w:r>
      <w:r>
        <w:rPr>
          <w:rFonts w:hint="eastAsia" w:ascii="仿宋_GB2312" w:hAnsi="仿宋_GB2312" w:eastAsia="仿宋_GB2312" w:cs="仿宋_GB2312"/>
          <w:sz w:val="32"/>
          <w:szCs w:val="32"/>
          <w:lang w:val="en-US" w:eastAsia="zh-CN"/>
        </w:rPr>
        <w:t>项目，各实施单位进行了自评，未委托第三方机构开展绩效评价。</w:t>
      </w:r>
      <w:r>
        <w:rPr>
          <w:rFonts w:hint="eastAsia" w:ascii="仿宋_GB2312" w:hAnsi="仿宋_GB2312" w:eastAsia="仿宋_GB2312" w:cs="仿宋_GB2312"/>
          <w:sz w:val="32"/>
          <w:szCs w:val="32"/>
          <w:lang w:eastAsia="zh-CN"/>
        </w:rPr>
        <w:t>项目绩效评价结果：根据年初设定的绩效目标，</w:t>
      </w:r>
      <w:r>
        <w:rPr>
          <w:rFonts w:hint="eastAsia" w:ascii="仿宋_GB2312" w:hAnsi="仿宋_GB2312" w:eastAsia="仿宋_GB2312" w:cs="仿宋_GB2312"/>
          <w:sz w:val="32"/>
          <w:szCs w:val="32"/>
          <w:lang w:val="en-US" w:eastAsia="zh-CN"/>
        </w:rPr>
        <w:t>自评得分为优。项目全年预算数为3588.16万元，执行数为3588.16万元，完成预算的100%。主要产出和效果：</w:t>
      </w: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lang w:val="en-US" w:eastAsia="zh-CN"/>
        </w:rPr>
        <w:t>预算编制准确、完整</w:t>
      </w:r>
      <w:r>
        <w:rPr>
          <w:rFonts w:hint="eastAsia" w:ascii="仿宋_GB2312" w:hAnsi="仿宋_GB2312" w:eastAsia="仿宋_GB2312" w:cs="仿宋_GB2312"/>
          <w:sz w:val="32"/>
          <w:szCs w:val="32"/>
        </w:rPr>
        <w:t>；二是</w:t>
      </w:r>
      <w:r>
        <w:rPr>
          <w:rFonts w:hint="eastAsia" w:ascii="仿宋_GB2312" w:hAnsi="仿宋_GB2312" w:eastAsia="仿宋_GB2312" w:cs="仿宋_GB2312"/>
          <w:sz w:val="32"/>
          <w:szCs w:val="32"/>
          <w:lang w:val="en-US" w:eastAsia="zh-CN"/>
        </w:rPr>
        <w:t>财务状况良好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发现的主要问题及原因：无</w:t>
      </w:r>
      <w:r>
        <w:rPr>
          <w:rFonts w:hint="eastAsia" w:ascii="仿宋_GB2312" w:hAnsi="仿宋_GB2312" w:eastAsia="仿宋_GB2312" w:cs="仿宋_GB2312"/>
          <w:sz w:val="32"/>
          <w:szCs w:val="32"/>
          <w:lang w:val="en-US" w:eastAsia="zh-CN"/>
        </w:rPr>
        <w:t>。下一步改进措施：无。</w:t>
      </w:r>
    </w:p>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九、政府性基金支出情况</w:t>
      </w:r>
    </w:p>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cs="黑体"/>
          <w:sz w:val="32"/>
          <w:szCs w:val="32"/>
        </w:rPr>
      </w:pPr>
      <w:r>
        <w:rPr>
          <w:rFonts w:hint="eastAsia" w:ascii="仿宋_GB2312" w:hAnsi="仿宋_GB2312" w:eastAsia="仿宋_GB2312" w:cs="仿宋_GB2312"/>
          <w:sz w:val="32"/>
          <w:szCs w:val="32"/>
        </w:rPr>
        <w:t xml:space="preserve">     本年度单位政府性基金支出</w:t>
      </w:r>
      <w:r>
        <w:rPr>
          <w:rFonts w:hint="eastAsia" w:ascii="仿宋_GB2312" w:hAnsi="仿宋_GB2312" w:eastAsia="仿宋_GB2312" w:cs="仿宋_GB2312"/>
          <w:sz w:val="32"/>
          <w:szCs w:val="32"/>
          <w:lang w:val="en-US" w:eastAsia="zh-CN"/>
        </w:rPr>
        <w:t>153.88，为抗疫特别国债支出-创业担保贷款贴息</w:t>
      </w:r>
      <w:bookmarkStart w:id="0" w:name="_GoBack"/>
      <w:bookmarkEnd w:id="0"/>
      <w:r>
        <w:rPr>
          <w:rFonts w:hint="eastAsia" w:ascii="仿宋_GB2312" w:hAnsi="仿宋_GB2312" w:eastAsia="仿宋_GB2312" w:cs="仿宋_GB2312"/>
          <w:sz w:val="32"/>
          <w:szCs w:val="32"/>
        </w:rPr>
        <w:t>。</w:t>
      </w:r>
      <w:r>
        <w:rPr>
          <w:rFonts w:ascii="黑体" w:hAnsi="黑体" w:eastAsia="黑体" w:cs="黑体"/>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320" w:firstLineChars="100"/>
        <w:textAlignment w:val="auto"/>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rPr>
        <w:t>十</w:t>
      </w:r>
      <w:r>
        <w:rPr>
          <w:rFonts w:hint="eastAsia" w:ascii="黑体" w:hAnsi="黑体" w:eastAsia="黑体" w:cs="黑体"/>
          <w:sz w:val="32"/>
          <w:szCs w:val="32"/>
        </w:rPr>
        <w:t>、名词解释</w:t>
      </w:r>
    </w:p>
    <w:p>
      <w:pPr>
        <w:keepNext w:val="0"/>
        <w:keepLines w:val="0"/>
        <w:pageBreakBefore w:val="0"/>
        <w:kinsoku/>
        <w:wordWrap/>
        <w:overflowPunct/>
        <w:topLinePunct w:val="0"/>
        <w:autoSpaceDE/>
        <w:autoSpaceDN/>
        <w:bidi w:val="0"/>
        <w:adjustRightInd/>
        <w:snapToGrid/>
        <w:spacing w:line="500" w:lineRule="exact"/>
        <w:ind w:firstLine="6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（一）财政拨款收入：指本年度从本级财政部门取得的财政拨款，包括一般公共预算财政拨款和政府性基金预算财政拨款。</w:t>
      </w:r>
    </w:p>
    <w:p>
      <w:pPr>
        <w:keepNext w:val="0"/>
        <w:keepLines w:val="0"/>
        <w:pageBreakBefore w:val="0"/>
        <w:kinsoku/>
        <w:wordWrap/>
        <w:overflowPunct/>
        <w:topLinePunct w:val="0"/>
        <w:autoSpaceDE/>
        <w:autoSpaceDN/>
        <w:bidi w:val="0"/>
        <w:adjustRightInd/>
        <w:snapToGrid/>
        <w:spacing w:line="500" w:lineRule="exact"/>
        <w:ind w:firstLine="6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（二）事业收入：指事业单位开展专业业务活动及其辅助活动取得的收入；事业单位收到的财政专户实际核拨的教育收费等资金在此反映。</w:t>
      </w:r>
    </w:p>
    <w:p>
      <w:pPr>
        <w:keepNext w:val="0"/>
        <w:keepLines w:val="0"/>
        <w:pageBreakBefore w:val="0"/>
        <w:kinsoku/>
        <w:wordWrap/>
        <w:overflowPunct/>
        <w:topLinePunct w:val="0"/>
        <w:autoSpaceDE/>
        <w:autoSpaceDN/>
        <w:bidi w:val="0"/>
        <w:adjustRightInd/>
        <w:snapToGrid/>
        <w:spacing w:line="500" w:lineRule="exact"/>
        <w:ind w:firstLine="6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（三）经营收入：指事业单位在专业业务活动及其辅助活动之外开展非独立核算经营活动取得的收入。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napToGrid/>
        <w:spacing w:line="500" w:lineRule="exact"/>
        <w:ind w:firstLine="6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keepNext w:val="0"/>
        <w:keepLines w:val="0"/>
        <w:pageBreakBefore w:val="0"/>
        <w:kinsoku/>
        <w:wordWrap/>
        <w:overflowPunct/>
        <w:topLinePunct w:val="0"/>
        <w:autoSpaceDE/>
        <w:autoSpaceDN/>
        <w:bidi w:val="0"/>
        <w:adjustRightInd/>
        <w:snapToGrid/>
        <w:spacing w:line="500" w:lineRule="exact"/>
        <w:ind w:firstLine="6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kinsoku/>
        <w:wordWrap/>
        <w:overflowPunct/>
        <w:topLinePunct w:val="0"/>
        <w:autoSpaceDE/>
        <w:autoSpaceDN/>
        <w:bidi w:val="0"/>
        <w:adjustRightInd/>
        <w:snapToGrid/>
        <w:spacing w:line="500" w:lineRule="exact"/>
        <w:ind w:firstLine="6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（六）年初结转和结余：指单位上年结转本年使用的基本支出结转、项目支出结转和结余、经营结余。不包括事业单位净资产项下的事业基金和专用基金。</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（八）年末结转和结余：指单位结转下年的基本支出结转、项目支出结转和结余、经营结余。不包括事业单位净资产项下的事业基金和专用基金。</w:t>
      </w:r>
    </w:p>
    <w:p>
      <w:pPr>
        <w:keepNext w:val="0"/>
        <w:keepLines w:val="0"/>
        <w:pageBreakBefore w:val="0"/>
        <w:kinsoku/>
        <w:wordWrap/>
        <w:overflowPunct/>
        <w:topLinePunct w:val="0"/>
        <w:autoSpaceDE/>
        <w:autoSpaceDN/>
        <w:bidi w:val="0"/>
        <w:adjustRightInd/>
        <w:snapToGrid/>
        <w:spacing w:line="500" w:lineRule="exact"/>
        <w:ind w:firstLine="6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kinsoku/>
        <w:wordWrap/>
        <w:overflowPunct/>
        <w:topLinePunct w:val="0"/>
        <w:autoSpaceDE/>
        <w:autoSpaceDN/>
        <w:bidi w:val="0"/>
        <w:adjustRightInd/>
        <w:snapToGrid/>
        <w:spacing w:line="500" w:lineRule="exact"/>
        <w:ind w:firstLine="6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（十）项目支出：指在基本支出之外为完成特定行政任务和事业发展目标所发生的支出。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line="500" w:lineRule="exact"/>
        <w:ind w:firstLine="6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（十一）经营支出：指事业单位在专业业务活动及其辅助活动之外开展非独立核算经营活动发生的支出。</w:t>
      </w:r>
    </w:p>
    <w:p>
      <w:pPr>
        <w:keepNext w:val="0"/>
        <w:keepLines w:val="0"/>
        <w:pageBreakBefore w:val="0"/>
        <w:kinsoku/>
        <w:wordWrap/>
        <w:overflowPunct/>
        <w:topLinePunct w:val="0"/>
        <w:autoSpaceDE/>
        <w:autoSpaceDN/>
        <w:bidi w:val="0"/>
        <w:adjustRightInd/>
        <w:snapToGrid/>
        <w:spacing w:line="500" w:lineRule="exact"/>
        <w:ind w:firstLine="6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spacing w:line="500" w:lineRule="exact"/>
        <w:ind w:firstLine="6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spacing w:line="500" w:lineRule="exact"/>
        <w:ind w:firstLine="6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（十四）工资福利支出（支出经济分类科目类级）：反映单位开支的在职职工和编制外长期聘用人员的各类劳动报酬，以及为上述人员缴纳的各项社会保险费等。</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（十五）商品和服务支出（支出经济分类科目类级）：反映单位购买商品和服务的支出（不包括用于购置固定资产的支出、战略性和应急储备支出）。</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（十六）对个人和家庭的补助（支出经济分类科目类级）：反映用于对个人和家庭的补助支出。</w:t>
      </w:r>
    </w:p>
    <w:p>
      <w:pPr>
        <w:keepNext w:val="0"/>
        <w:keepLines w:val="0"/>
        <w:pageBreakBefore w:val="0"/>
        <w:kinsoku/>
        <w:wordWrap/>
        <w:overflowPunct/>
        <w:topLinePunct w:val="0"/>
        <w:autoSpaceDE/>
        <w:autoSpaceDN/>
        <w:bidi w:val="0"/>
        <w:adjustRightInd/>
        <w:snapToGrid/>
        <w:spacing w:line="500" w:lineRule="exact"/>
        <w:ind w:firstLine="62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00" w:lineRule="exact"/>
        <w:ind w:left="420" w:firstLine="28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附表：1.收入支出决算总表</w:t>
      </w:r>
    </w:p>
    <w:p>
      <w:pPr>
        <w:keepNext w:val="0"/>
        <w:keepLines w:val="0"/>
        <w:pageBreakBefore w:val="0"/>
        <w:widowControl w:val="0"/>
        <w:kinsoku/>
        <w:wordWrap/>
        <w:overflowPunct/>
        <w:topLinePunct w:val="0"/>
        <w:autoSpaceDE/>
        <w:autoSpaceDN/>
        <w:bidi w:val="0"/>
        <w:adjustRightInd/>
        <w:snapToGrid/>
        <w:spacing w:line="500" w:lineRule="exact"/>
        <w:ind w:left="420" w:leftChars="200" w:firstLine="1248" w:firstLineChars="39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2.收入决算表</w:t>
      </w:r>
    </w:p>
    <w:p>
      <w:pPr>
        <w:keepNext w:val="0"/>
        <w:keepLines w:val="0"/>
        <w:pageBreakBefore w:val="0"/>
        <w:widowControl w:val="0"/>
        <w:kinsoku/>
        <w:wordWrap/>
        <w:overflowPunct/>
        <w:topLinePunct w:val="0"/>
        <w:autoSpaceDE/>
        <w:autoSpaceDN/>
        <w:bidi w:val="0"/>
        <w:adjustRightInd/>
        <w:snapToGrid/>
        <w:spacing w:line="500" w:lineRule="exact"/>
        <w:ind w:left="420" w:leftChars="200" w:firstLine="1248" w:firstLineChars="39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3.支出决算表</w:t>
      </w:r>
    </w:p>
    <w:p>
      <w:pPr>
        <w:keepNext w:val="0"/>
        <w:keepLines w:val="0"/>
        <w:pageBreakBefore w:val="0"/>
        <w:widowControl w:val="0"/>
        <w:kinsoku/>
        <w:wordWrap/>
        <w:overflowPunct/>
        <w:topLinePunct w:val="0"/>
        <w:autoSpaceDE/>
        <w:autoSpaceDN/>
        <w:bidi w:val="0"/>
        <w:adjustRightInd/>
        <w:snapToGrid/>
        <w:spacing w:line="500" w:lineRule="exact"/>
        <w:ind w:left="420" w:leftChars="200" w:firstLine="1248" w:firstLineChars="39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4.财政拨款收入支出决算总表</w:t>
      </w:r>
    </w:p>
    <w:p>
      <w:pPr>
        <w:keepNext w:val="0"/>
        <w:keepLines w:val="0"/>
        <w:pageBreakBefore w:val="0"/>
        <w:widowControl w:val="0"/>
        <w:kinsoku/>
        <w:wordWrap/>
        <w:overflowPunct/>
        <w:topLinePunct w:val="0"/>
        <w:autoSpaceDE/>
        <w:autoSpaceDN/>
        <w:bidi w:val="0"/>
        <w:adjustRightInd/>
        <w:snapToGrid/>
        <w:spacing w:line="500" w:lineRule="exact"/>
        <w:ind w:left="420" w:leftChars="200" w:firstLine="1248" w:firstLineChars="39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5.一般公共预算财政拨款支出决算表</w:t>
      </w:r>
    </w:p>
    <w:p>
      <w:pPr>
        <w:keepNext w:val="0"/>
        <w:keepLines w:val="0"/>
        <w:pageBreakBefore w:val="0"/>
        <w:widowControl w:val="0"/>
        <w:kinsoku/>
        <w:wordWrap/>
        <w:overflowPunct/>
        <w:topLinePunct w:val="0"/>
        <w:autoSpaceDE/>
        <w:autoSpaceDN/>
        <w:bidi w:val="0"/>
        <w:adjustRightInd/>
        <w:snapToGrid/>
        <w:spacing w:line="500" w:lineRule="exact"/>
        <w:ind w:left="420" w:leftChars="200" w:firstLine="1248" w:firstLineChars="39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6.一般公共预算财政拨款基本支出决算表</w:t>
      </w:r>
    </w:p>
    <w:p>
      <w:pPr>
        <w:keepNext w:val="0"/>
        <w:keepLines w:val="0"/>
        <w:pageBreakBefore w:val="0"/>
        <w:widowControl w:val="0"/>
        <w:kinsoku/>
        <w:wordWrap/>
        <w:overflowPunct/>
        <w:topLinePunct w:val="0"/>
        <w:autoSpaceDE/>
        <w:autoSpaceDN/>
        <w:bidi w:val="0"/>
        <w:adjustRightInd/>
        <w:snapToGrid/>
        <w:spacing w:line="500" w:lineRule="exact"/>
        <w:ind w:left="420" w:leftChars="200" w:firstLine="1248" w:firstLineChars="39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.一般公共预算财政拨款“三公”经费支出决算表</w:t>
      </w:r>
    </w:p>
    <w:p>
      <w:pPr>
        <w:keepNext w:val="0"/>
        <w:keepLines w:val="0"/>
        <w:pageBreakBefore w:val="0"/>
        <w:widowControl w:val="0"/>
        <w:kinsoku/>
        <w:wordWrap/>
        <w:overflowPunct/>
        <w:topLinePunct w:val="0"/>
        <w:autoSpaceDE/>
        <w:autoSpaceDN/>
        <w:bidi w:val="0"/>
        <w:adjustRightInd/>
        <w:snapToGrid/>
        <w:spacing w:line="500" w:lineRule="exact"/>
        <w:ind w:left="420" w:leftChars="200" w:firstLine="1248" w:firstLineChars="39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500" w:lineRule="exact"/>
        <w:ind w:left="420" w:leftChars="200" w:firstLine="1248" w:firstLineChars="39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国有资本经营预算财政拨款收入支出决算表</w:t>
      </w:r>
    </w:p>
    <w:p>
      <w:pPr>
        <w:keepNext w:val="0"/>
        <w:keepLines w:val="0"/>
        <w:pageBreakBefore w:val="0"/>
        <w:widowControl w:val="0"/>
        <w:kinsoku/>
        <w:wordWrap/>
        <w:overflowPunct/>
        <w:topLinePunct w:val="0"/>
        <w:autoSpaceDE/>
        <w:autoSpaceDN/>
        <w:bidi w:val="0"/>
        <w:adjustRightInd/>
        <w:snapToGrid/>
        <w:spacing w:line="500" w:lineRule="exact"/>
        <w:ind w:left="420" w:leftChars="200" w:firstLine="1248" w:firstLineChars="3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10.政府采购表</w:t>
      </w:r>
    </w:p>
    <w:p>
      <w:pPr>
        <w:jc w:val="left"/>
        <w:rPr>
          <w:rFonts w:hint="eastAsia" w:ascii="仿宋_GB2312" w:hAnsi="仿宋_GB2312" w:eastAsia="仿宋_GB2312" w:cs="仿宋_GB2312"/>
          <w:sz w:val="32"/>
          <w:szCs w:val="32"/>
          <w:u w:val="thick"/>
          <w:lang w:val="en-US" w:eastAsia="zh-CN"/>
        </w:rPr>
      </w:pPr>
    </w:p>
    <w:p>
      <w:pPr>
        <w:rPr>
          <w:rFonts w:hint="eastAsia" w:ascii="仿宋_GB2312" w:hAnsi="仿宋_GB2312" w:eastAsia="仿宋_GB2312" w:cs="仿宋_GB2312"/>
          <w:sz w:val="32"/>
          <w:szCs w:val="32"/>
        </w:rPr>
      </w:pPr>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3A54AB"/>
    <w:multiLevelType w:val="singleLevel"/>
    <w:tmpl w:val="C93A54AB"/>
    <w:lvl w:ilvl="0" w:tentative="0">
      <w:start w:val="1"/>
      <w:numFmt w:val="chineseCounting"/>
      <w:suff w:val="nothing"/>
      <w:lvlText w:val="%1、"/>
      <w:lvlJc w:val="left"/>
      <w:rPr>
        <w:rFonts w:hint="eastAsia"/>
      </w:rPr>
    </w:lvl>
  </w:abstractNum>
  <w:abstractNum w:abstractNumId="1">
    <w:nsid w:val="59B7AF7F"/>
    <w:multiLevelType w:val="singleLevel"/>
    <w:tmpl w:val="59B7AF7F"/>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03A497F"/>
    <w:rsid w:val="04854BC1"/>
    <w:rsid w:val="13356199"/>
    <w:rsid w:val="21436D46"/>
    <w:rsid w:val="28D9231D"/>
    <w:rsid w:val="33680EC4"/>
    <w:rsid w:val="34D26A83"/>
    <w:rsid w:val="35FF621F"/>
    <w:rsid w:val="460A5D7F"/>
    <w:rsid w:val="4AAE09FB"/>
    <w:rsid w:val="4B765FB0"/>
    <w:rsid w:val="4BC72EEC"/>
    <w:rsid w:val="4E7E7EEC"/>
    <w:rsid w:val="58794195"/>
    <w:rsid w:val="58BC2B8C"/>
    <w:rsid w:val="597A68D7"/>
    <w:rsid w:val="599A00FC"/>
    <w:rsid w:val="5CAD1B44"/>
    <w:rsid w:val="5FFA219E"/>
    <w:rsid w:val="66902EC5"/>
    <w:rsid w:val="71C10B3F"/>
    <w:rsid w:val="78DB60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朱志军</cp:lastModifiedBy>
  <dcterms:modified xsi:type="dcterms:W3CDTF">2021-08-04T03:11:10Z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5010F78DFD7148EC82919C4B44D65CF6</vt:lpwstr>
  </property>
</Properties>
</file>