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崇信县农业经营服务中心</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0"/>
        <w:rPr>
          <w:rFonts w:hint="eastAsia" w:ascii="宋体" w:hAnsi="宋体"/>
          <w:sz w:val="28"/>
          <w:szCs w:val="28"/>
          <w:lang w:val="en-US" w:eastAsia="zh-CN"/>
        </w:rPr>
      </w:pPr>
      <w:r>
        <w:rPr>
          <w:rFonts w:hint="eastAsia" w:ascii="宋体" w:hAnsi="宋体"/>
          <w:sz w:val="28"/>
          <w:szCs w:val="28"/>
          <w:lang w:val="en-US" w:eastAsia="zh-CN"/>
        </w:rPr>
        <w:t>崇信县农业经营服务中心职责：以为农村经济健康发展提供管理保障为宗旨，开展农村土地承包及经营权流转指导工作；开展农村闲置宅基地及闲置住房盘活利用工作；负责指导家庭农场、农民专业合作社规范运营；负责农业社会化服务体系建设指导、农村财务指导，农经政策宣传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20"/>
        <w:rPr>
          <w:rFonts w:hint="eastAsia" w:ascii="宋体" w:hAnsi="宋体"/>
          <w:sz w:val="28"/>
          <w:szCs w:val="28"/>
          <w:lang w:val="en-US" w:eastAsia="zh-CN"/>
        </w:rPr>
      </w:pPr>
      <w:r>
        <w:rPr>
          <w:rFonts w:hint="eastAsia" w:ascii="宋体" w:hAnsi="宋体"/>
          <w:sz w:val="28"/>
          <w:szCs w:val="28"/>
          <w:lang w:val="en-US" w:eastAsia="zh-CN"/>
        </w:rPr>
        <w:t>崇信县农业经营服务中心成立于1968年4月，核定事业编制8名，属于财政全额拨款事业单位，独立核算机构数为 1个，编制人数为8人，实有人数为 13人，财政拨款开支 13人。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620"/>
        <w:rPr>
          <w:rFonts w:hint="eastAsia" w:ascii="宋体" w:hAnsi="宋体"/>
          <w:sz w:val="28"/>
          <w:szCs w:val="28"/>
          <w:lang w:val="en-US" w:eastAsia="zh-CN"/>
        </w:rPr>
      </w:pPr>
      <w:r>
        <w:rPr>
          <w:rFonts w:hint="eastAsia" w:ascii="宋体" w:hAnsi="宋体"/>
          <w:sz w:val="28"/>
          <w:szCs w:val="28"/>
          <w:lang w:val="en-US" w:eastAsia="zh-CN"/>
        </w:rPr>
        <w:t>2020年，我单位总收入149.31万元。</w:t>
      </w:r>
    </w:p>
    <w:p>
      <w:pPr>
        <w:ind w:firstLine="620"/>
        <w:rPr>
          <w:rFonts w:hint="eastAsia" w:ascii="宋体" w:hAnsi="宋体"/>
          <w:sz w:val="28"/>
          <w:szCs w:val="28"/>
          <w:lang w:val="en-US" w:eastAsia="zh-CN"/>
        </w:rPr>
      </w:pPr>
      <w:r>
        <w:rPr>
          <w:rFonts w:hint="eastAsia" w:ascii="宋体" w:hAnsi="宋体"/>
          <w:sz w:val="28"/>
          <w:szCs w:val="28"/>
          <w:lang w:val="en-US" w:eastAsia="zh-CN"/>
        </w:rPr>
        <w:t>2020年，我单位总支出151.21万元。其中：一般公共服务支出119.3万元（工资福利支出89.34万元，对个人和家庭的补助支出24.86万元，商品和服务支出5.1万元），项目支出31.91万元。</w:t>
      </w:r>
    </w:p>
    <w:p>
      <w:pPr>
        <w:numPr>
          <w:ilvl w:val="0"/>
          <w:numId w:val="0"/>
        </w:numPr>
        <w:spacing w:line="600" w:lineRule="exact"/>
        <w:ind w:left="648" w:leftChars="0"/>
        <w:rPr>
          <w:rFonts w:hint="eastAsia"/>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财政拨款支出决算情况</w:t>
      </w:r>
    </w:p>
    <w:p>
      <w:pPr>
        <w:ind w:firstLine="620"/>
        <w:rPr>
          <w:rFonts w:hint="eastAsia" w:ascii="宋体" w:hAnsi="宋体"/>
          <w:sz w:val="28"/>
          <w:szCs w:val="28"/>
          <w:lang w:val="en-US" w:eastAsia="zh-CN"/>
        </w:rPr>
      </w:pPr>
      <w:r>
        <w:rPr>
          <w:rFonts w:hint="eastAsia" w:ascii="宋体" w:hAnsi="宋体"/>
          <w:sz w:val="28"/>
          <w:szCs w:val="28"/>
          <w:lang w:val="en-US" w:eastAsia="zh-CN"/>
        </w:rPr>
        <w:t>2020年，本单位财政拨款支出主要用于一般公共服务支出、项目支出和单位基本支出，即单位工作正常运转的日常支出，包括办公费、水电费、差旅费、办公设备购置等日常公用经费。以及基本工资、津贴补贴、机关事业单位基本养老保险等人员经费。</w:t>
      </w:r>
    </w:p>
    <w:p>
      <w:pPr>
        <w:ind w:firstLine="620"/>
        <w:rPr>
          <w:rFonts w:hint="eastAsia" w:ascii="宋体" w:hAnsi="宋体"/>
          <w:sz w:val="28"/>
          <w:szCs w:val="28"/>
          <w:lang w:val="en-US" w:eastAsia="zh-CN"/>
        </w:rPr>
      </w:pPr>
      <w:r>
        <w:rPr>
          <w:rFonts w:hint="eastAsia" w:ascii="宋体" w:hAnsi="宋体"/>
          <w:sz w:val="28"/>
          <w:szCs w:val="28"/>
          <w:lang w:val="en-US" w:eastAsia="zh-CN"/>
        </w:rPr>
        <w:t>一般公共服务支出119.3万元。主要用于工资福利支出及对个人和家庭的补助支出114.2万元，商品和服务支出5.1万元。项目支出31.91万元。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20"/>
        <w:rPr>
          <w:rFonts w:hint="eastAsia" w:ascii="宋体" w:hAnsi="宋体"/>
          <w:sz w:val="28"/>
          <w:szCs w:val="28"/>
          <w:lang w:val="en-US" w:eastAsia="zh-CN"/>
        </w:rPr>
      </w:pPr>
      <w:r>
        <w:rPr>
          <w:rFonts w:hint="eastAsia" w:ascii="宋体" w:hAnsi="宋体"/>
          <w:sz w:val="28"/>
          <w:szCs w:val="28"/>
          <w:lang w:val="en-US" w:eastAsia="zh-CN"/>
        </w:rPr>
        <w:t>2020年“三公”经费支出合计0.13万元，比2019年19.51万元，减少了19.38万元。具体为：</w:t>
      </w:r>
    </w:p>
    <w:p>
      <w:pPr>
        <w:ind w:firstLine="620"/>
        <w:rPr>
          <w:rFonts w:hint="eastAsia" w:ascii="宋体" w:hAnsi="宋体"/>
          <w:sz w:val="28"/>
          <w:szCs w:val="28"/>
          <w:lang w:val="en-US" w:eastAsia="zh-CN"/>
        </w:rPr>
      </w:pPr>
      <w:r>
        <w:rPr>
          <w:rFonts w:hint="eastAsia" w:ascii="宋体" w:hAnsi="宋体"/>
          <w:sz w:val="28"/>
          <w:szCs w:val="28"/>
          <w:lang w:val="en-US" w:eastAsia="zh-CN"/>
        </w:rPr>
        <w:t>1.因公出国（境）费用0万元。本年度单位无出国（境）情况。</w:t>
      </w:r>
    </w:p>
    <w:p>
      <w:pPr>
        <w:ind w:firstLine="620"/>
        <w:rPr>
          <w:rFonts w:hint="eastAsia" w:ascii="宋体" w:hAnsi="宋体"/>
          <w:sz w:val="28"/>
          <w:szCs w:val="28"/>
          <w:lang w:val="en-US" w:eastAsia="zh-CN"/>
        </w:rPr>
      </w:pPr>
      <w:r>
        <w:rPr>
          <w:rFonts w:hint="eastAsia" w:ascii="宋体" w:hAnsi="宋体"/>
          <w:sz w:val="28"/>
          <w:szCs w:val="28"/>
          <w:lang w:val="en-US" w:eastAsia="zh-CN"/>
        </w:rPr>
        <w:t>2公务用车购置和运行费0万元。公务用车保有量0辆。2020年无公务用车购置费,比2019年相比减少了0辆（其中0辆交公务用车服务平台使用，0辆已由机关事务管理局拍买）。公务用车运行维护费0万元。</w:t>
      </w:r>
    </w:p>
    <w:p>
      <w:pPr>
        <w:ind w:firstLine="620"/>
        <w:rPr>
          <w:rFonts w:hint="default" w:ascii="宋体" w:hAnsi="宋体"/>
          <w:sz w:val="28"/>
          <w:szCs w:val="28"/>
          <w:lang w:val="en-US" w:eastAsia="zh-CN"/>
        </w:rPr>
      </w:pPr>
      <w:r>
        <w:rPr>
          <w:rFonts w:hint="eastAsia" w:ascii="宋体" w:hAnsi="宋体"/>
          <w:sz w:val="28"/>
          <w:szCs w:val="28"/>
          <w:lang w:val="en-US" w:eastAsia="zh-CN"/>
        </w:rPr>
        <w:t>3.公务接待费0.13万元。比2019年减少了19.38万元。接待6批次，33人次。主要原因是：2020年产权制度改革工作上级部门验收以及闲置宅基地和闲置住房盘活利用试点工作上级部门督导、调研等工作接待次数较多。</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20"/>
        <w:rPr>
          <w:rFonts w:hint="eastAsia" w:ascii="宋体" w:hAnsi="宋体"/>
          <w:sz w:val="28"/>
          <w:szCs w:val="28"/>
          <w:lang w:val="en-US" w:eastAsia="zh-CN"/>
        </w:rPr>
      </w:pPr>
      <w:r>
        <w:rPr>
          <w:rFonts w:hint="eastAsia" w:ascii="宋体" w:hAnsi="宋体"/>
          <w:sz w:val="28"/>
          <w:szCs w:val="28"/>
          <w:lang w:val="en-US" w:eastAsia="zh-CN"/>
        </w:rPr>
        <w:t>本年度我单位无机关运行经费。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bookmarkStart w:id="0" w:name="_GoBack"/>
      <w:bookmarkEnd w:id="0"/>
    </w:p>
    <w:p>
      <w:pPr>
        <w:ind w:firstLine="620"/>
        <w:rPr>
          <w:rFonts w:hint="eastAsia" w:ascii="宋体" w:hAnsi="宋体"/>
          <w:sz w:val="28"/>
          <w:szCs w:val="28"/>
          <w:lang w:val="en-US" w:eastAsia="zh-CN"/>
        </w:rPr>
      </w:pPr>
      <w:r>
        <w:rPr>
          <w:rFonts w:hint="eastAsia" w:ascii="宋体" w:hAnsi="宋体"/>
          <w:sz w:val="28"/>
          <w:szCs w:val="28"/>
          <w:lang w:val="en-US" w:eastAsia="zh-CN"/>
        </w:rPr>
        <w:t>本年度我单位无政府采购。</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lang w:val="en-US" w:eastAsia="zh-CN"/>
        </w:rPr>
        <w:t>根据财政预算管理要求，我单位组织对2020年省级农业生产发展资金“农村集体产权制度改革试点经费”开展绩效评价。项目资金16万元，占一般公共预算项目支出总额的50%。</w:t>
      </w:r>
    </w:p>
    <w:p>
      <w:pPr>
        <w:ind w:firstLine="620"/>
        <w:rPr>
          <w:rFonts w:hint="eastAsia" w:ascii="宋体" w:hAnsi="宋体"/>
          <w:sz w:val="28"/>
          <w:szCs w:val="28"/>
          <w:lang w:val="en-US" w:eastAsia="zh-CN"/>
        </w:rPr>
      </w:pPr>
      <w:r>
        <w:rPr>
          <w:rFonts w:hint="eastAsia" w:ascii="宋体" w:hAnsi="宋体"/>
          <w:sz w:val="28"/>
          <w:szCs w:val="28"/>
          <w:lang w:val="en-US" w:eastAsia="zh-CN"/>
        </w:rPr>
        <w:t>项目绩效评价结果：根据年初设定的绩效目标，项目全年预算数为16万元，执行数为16万元，完成预算的100%。全年实际完成情况：已按时限完成成员身份认定、折股量化资产、股份制经济合作社组建、办理登记赋码等各项工作。主要产出和效果：一是：数量指标：全县农村集体产权制度改革培训次数达到26次。二是：社会效益：通过开展全县农村产权制度改革工作，村集体资产权属划分清晰，农民的财产性权益得到保障，经济效益不断提高，社会效益显著增强，群众对农村产权制度改革工作的满意度明显提升。</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sz w:val="28"/>
          <w:szCs w:val="28"/>
          <w:lang w:val="en-US" w:eastAsia="zh-CN"/>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w:t>
      </w:r>
      <w:r>
        <w:rPr>
          <w:rFonts w:hint="eastAsia" w:ascii="仿宋_GB2312" w:hAnsi="仿宋_GB2312" w:eastAsia="仿宋_GB2312" w:cs="仿宋_GB2312"/>
          <w:sz w:val="32"/>
          <w:szCs w:val="32"/>
          <w:lang w:val="en-US" w:eastAsia="zh-CN"/>
        </w:rPr>
        <w:t>过桥费</w:t>
      </w:r>
      <w:r>
        <w:rPr>
          <w:rFonts w:hint="eastAsia" w:ascii="宋体" w:hAnsi="宋体"/>
          <w:sz w:val="28"/>
          <w:szCs w:val="28"/>
          <w:lang w:eastAsia="zh-CN"/>
        </w:rPr>
        <w:t>、保险费、安全奖励费用等支出；公务接待费反映单位按规定开支的各类公务接待（含外宾接待）支出。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88403"/>
    <w:multiLevelType w:val="singleLevel"/>
    <w:tmpl w:val="9558840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0F700D"/>
    <w:rsid w:val="015654F7"/>
    <w:rsid w:val="07145C50"/>
    <w:rsid w:val="078352FF"/>
    <w:rsid w:val="0C0B61E5"/>
    <w:rsid w:val="11020F52"/>
    <w:rsid w:val="11DB625E"/>
    <w:rsid w:val="13356199"/>
    <w:rsid w:val="13D07AFE"/>
    <w:rsid w:val="149A6748"/>
    <w:rsid w:val="14C952BE"/>
    <w:rsid w:val="16A109D8"/>
    <w:rsid w:val="19317477"/>
    <w:rsid w:val="193B6675"/>
    <w:rsid w:val="1A117165"/>
    <w:rsid w:val="1D444001"/>
    <w:rsid w:val="215A26FB"/>
    <w:rsid w:val="21F51AA4"/>
    <w:rsid w:val="232E19D8"/>
    <w:rsid w:val="23E4716E"/>
    <w:rsid w:val="264843DA"/>
    <w:rsid w:val="28D82098"/>
    <w:rsid w:val="28D9231D"/>
    <w:rsid w:val="2D8B4E51"/>
    <w:rsid w:val="2DA7790E"/>
    <w:rsid w:val="2F950F76"/>
    <w:rsid w:val="31A90CCB"/>
    <w:rsid w:val="31FC519C"/>
    <w:rsid w:val="320A6EF1"/>
    <w:rsid w:val="351B7098"/>
    <w:rsid w:val="375A2BA9"/>
    <w:rsid w:val="3ACE7C75"/>
    <w:rsid w:val="3BBD25A3"/>
    <w:rsid w:val="3C610A29"/>
    <w:rsid w:val="3CA24612"/>
    <w:rsid w:val="3DDF6B41"/>
    <w:rsid w:val="41657A39"/>
    <w:rsid w:val="42DD7658"/>
    <w:rsid w:val="46684E08"/>
    <w:rsid w:val="47845AA8"/>
    <w:rsid w:val="47E42E29"/>
    <w:rsid w:val="4CEA016E"/>
    <w:rsid w:val="4D23481A"/>
    <w:rsid w:val="4D3136F3"/>
    <w:rsid w:val="4E7E7EEC"/>
    <w:rsid w:val="509D311A"/>
    <w:rsid w:val="5488492F"/>
    <w:rsid w:val="54BB4941"/>
    <w:rsid w:val="56254242"/>
    <w:rsid w:val="56855C4C"/>
    <w:rsid w:val="5BA95798"/>
    <w:rsid w:val="5CA21B69"/>
    <w:rsid w:val="613528E7"/>
    <w:rsid w:val="61422732"/>
    <w:rsid w:val="68A01FB1"/>
    <w:rsid w:val="6A456A83"/>
    <w:rsid w:val="6DFD0723"/>
    <w:rsid w:val="6E8600C0"/>
    <w:rsid w:val="6E964032"/>
    <w:rsid w:val="710F1370"/>
    <w:rsid w:val="734F28D4"/>
    <w:rsid w:val="75CE1700"/>
    <w:rsid w:val="770D5343"/>
    <w:rsid w:val="780D7F6A"/>
    <w:rsid w:val="78497DB4"/>
    <w:rsid w:val="78654493"/>
    <w:rsid w:val="7B7C523E"/>
    <w:rsid w:val="7D496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2021-08-04T03:34:00Z</cp:lastPrinted>
  <dcterms:modified xsi:type="dcterms:W3CDTF">2021-08-04T06:53:52Z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