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崇信县发改局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utoSpaceDE w:val="0"/>
        <w:autoSpaceDN w:val="0"/>
        <w:adjustRightInd w:val="0"/>
        <w:spacing w:line="580" w:lineRule="exact"/>
        <w:ind w:firstLine="640" w:firstLineChars="200"/>
        <w:rPr>
          <w:rFonts w:hint="default" w:ascii="黑体" w:hAnsi="黑体" w:eastAsia="黑体" w:cs="黑体"/>
          <w:b w:val="0"/>
          <w:bCs w:val="0"/>
          <w:sz w:val="32"/>
          <w:szCs w:val="32"/>
          <w:lang w:val="en-US" w:eastAsia="zh-CN"/>
        </w:rPr>
      </w:pPr>
      <w:r>
        <w:rPr>
          <w:rFonts w:hint="eastAsia" w:ascii="仿宋_GB2312" w:eastAsia="仿宋_GB2312" w:cs="宋体"/>
          <w:kern w:val="0"/>
          <w:sz w:val="32"/>
          <w:szCs w:val="32"/>
        </w:rPr>
        <w:t>拟订并组织实施全县国民经济和社会发展战略、中长期规划和年度计划；</w:t>
      </w:r>
      <w:r>
        <w:rPr>
          <w:rStyle w:val="7"/>
          <w:rFonts w:hint="eastAsia" w:ascii="仿宋_GB2312"/>
        </w:rPr>
        <w:t>研究拟订我县价格政策规定和价格改革</w:t>
      </w:r>
      <w:r>
        <w:rPr>
          <w:rFonts w:hint="eastAsia" w:ascii="仿宋_GB2312" w:eastAsia="仿宋_GB2312"/>
          <w:sz w:val="32"/>
          <w:szCs w:val="32"/>
        </w:rPr>
        <w:t>方案并组织实施；</w:t>
      </w:r>
      <w:r>
        <w:rPr>
          <w:rFonts w:hint="eastAsia" w:ascii="仿宋_GB2312" w:eastAsia="仿宋_GB2312"/>
          <w:kern w:val="0"/>
          <w:sz w:val="32"/>
          <w:szCs w:val="32"/>
        </w:rPr>
        <w:t>承担规划重大项目和生产力布局职责，提出全社会固定资产投资总规模；</w:t>
      </w:r>
      <w:r>
        <w:rPr>
          <w:rFonts w:hint="eastAsia" w:ascii="仿宋_GB2312" w:eastAsia="仿宋_GB2312" w:cs="宋体"/>
          <w:kern w:val="0"/>
          <w:sz w:val="32"/>
          <w:szCs w:val="32"/>
        </w:rPr>
        <w:t>承担组织编制主体功能区规划并协调实施和进行监测评估的职责；组织拟订全县区域协调发展战略、规划和重大政策；研究分析市场供求状况，做好重要商品供求的总量平衡</w:t>
      </w:r>
      <w:r>
        <w:rPr>
          <w:rFonts w:hint="eastAsia" w:ascii="仿宋_GB2312" w:eastAsia="仿宋_GB2312"/>
          <w:sz w:val="32"/>
          <w:szCs w:val="32"/>
        </w:rPr>
        <w:t>；组织实施全县粮食流通宏观调控，负责全县粮油供需平衡和粮油市场稳定</w:t>
      </w:r>
      <w:r>
        <w:rPr>
          <w:rFonts w:hint="eastAsia" w:ascii="仿宋_GB2312" w:eastAsia="仿宋_GB2312" w:cs="宋体"/>
          <w:kern w:val="0"/>
          <w:sz w:val="32"/>
          <w:szCs w:val="32"/>
        </w:rPr>
        <w:t>；</w:t>
      </w:r>
      <w:r>
        <w:rPr>
          <w:rFonts w:hint="eastAsia" w:ascii="仿宋_GB2312" w:eastAsia="仿宋_GB2312"/>
          <w:sz w:val="32"/>
          <w:szCs w:val="32"/>
        </w:rPr>
        <w:t>贯彻执行国家有关粮食流通的方针、政策、法律、法规，落实全县粮食流通体制改革政策措施，完善体制改革；</w:t>
      </w:r>
      <w:r>
        <w:rPr>
          <w:rFonts w:hint="eastAsia" w:ascii="仿宋_GB2312" w:eastAsia="仿宋_GB2312" w:cs="宋体"/>
          <w:kern w:val="0"/>
          <w:sz w:val="32"/>
          <w:szCs w:val="32"/>
        </w:rPr>
        <w:t>制定县级粮食储备和物资储备计划；</w:t>
      </w:r>
      <w:r>
        <w:rPr>
          <w:rFonts w:hint="eastAsia" w:ascii="仿宋_GB2312" w:eastAsia="仿宋_GB2312"/>
          <w:sz w:val="32"/>
          <w:szCs w:val="32"/>
        </w:rPr>
        <w:t>负责粮食收购资格行政许可、承担全县军粮供应管理责任，指导协调全县各类政策性粮油供应、应急保障供应及最低收购价粮食购销；承担县级粮油储备管理责任，指导监督省、县级储备粮油的收储、轮换和投放；负责全县粮食流通监督检查工作，配合有关部门规范粮食市场行为，维护粮食流通秩序；</w:t>
      </w:r>
      <w:r>
        <w:rPr>
          <w:rFonts w:hint="eastAsia" w:ascii="仿宋_GB2312" w:eastAsia="仿宋_GB2312" w:cs="宋体"/>
          <w:kern w:val="0"/>
          <w:sz w:val="32"/>
          <w:szCs w:val="32"/>
        </w:rPr>
        <w:t>推进可持续发展战略，组织拟订并协调实施发展循环经济、能源资源节约和综合利用规划及政策措施；起草国民经济和社会发展、经济体制改革的有关法规草案，制定部门规章；承办县委、县政府和市发展和改革委员会、市粮食</w:t>
      </w:r>
      <w:r>
        <w:rPr>
          <w:rFonts w:hint="eastAsia" w:ascii="仿宋_GB2312" w:eastAsia="仿宋_GB2312" w:cs="宋体"/>
          <w:kern w:val="0"/>
          <w:sz w:val="32"/>
          <w:szCs w:val="32"/>
          <w:lang w:eastAsia="zh-CN"/>
        </w:rPr>
        <w:t>和物资储备局</w:t>
      </w:r>
      <w:r>
        <w:rPr>
          <w:rFonts w:hint="eastAsia" w:ascii="仿宋_GB2312" w:eastAsia="仿宋_GB2312" w:cs="宋体"/>
          <w:kern w:val="0"/>
          <w:sz w:val="32"/>
          <w:szCs w:val="32"/>
        </w:rPr>
        <w:t>交办的其他事项。</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spacing w:line="60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（一）机关内设机构</w:t>
      </w:r>
    </w:p>
    <w:p>
      <w:pPr>
        <w:spacing w:line="60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（二）下属行政单位</w:t>
      </w:r>
    </w:p>
    <w:p>
      <w:pPr>
        <w:spacing w:line="60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（三）参照公务员法管理单位</w:t>
      </w: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崇信县发展和改革局有参照公务员法管理的事业单位</w:t>
      </w:r>
      <w:r>
        <w:rPr>
          <w:rFonts w:hint="eastAsia" w:ascii="仿宋_GB2312" w:hAnsi="黑体" w:eastAsia="仿宋_GB2312" w:cs="黑体"/>
          <w:sz w:val="32"/>
          <w:szCs w:val="32"/>
          <w:lang w:val="en-US" w:eastAsia="zh-CN"/>
        </w:rPr>
        <w:t>1</w:t>
      </w:r>
      <w:r>
        <w:rPr>
          <w:rFonts w:hint="eastAsia" w:ascii="仿宋_GB2312" w:hAnsi="黑体" w:eastAsia="仿宋_GB2312" w:cs="黑体"/>
          <w:sz w:val="32"/>
          <w:szCs w:val="32"/>
        </w:rPr>
        <w:t>个：县以工代赈工作办公室。</w:t>
      </w:r>
      <w:r>
        <w:rPr>
          <w:rFonts w:ascii="仿宋_GB2312" w:hAnsi="黑体" w:eastAsia="仿宋_GB2312" w:cs="黑体"/>
          <w:sz w:val="32"/>
          <w:szCs w:val="32"/>
        </w:rPr>
        <w:t xml:space="preserve"> </w:t>
      </w:r>
    </w:p>
    <w:p>
      <w:pPr>
        <w:spacing w:line="60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（四）下属事业单位</w:t>
      </w: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崇信县发展和改革局有事业单位</w:t>
      </w:r>
      <w:r>
        <w:rPr>
          <w:rFonts w:hint="eastAsia" w:ascii="仿宋_GB2312" w:hAnsi="黑体" w:eastAsia="仿宋_GB2312" w:cs="黑体"/>
          <w:sz w:val="32"/>
          <w:szCs w:val="32"/>
          <w:lang w:val="en-US" w:eastAsia="zh-CN"/>
        </w:rPr>
        <w:t>4</w:t>
      </w:r>
      <w:r>
        <w:rPr>
          <w:rFonts w:hint="eastAsia" w:ascii="仿宋_GB2312" w:hAnsi="黑体" w:eastAsia="仿宋_GB2312" w:cs="黑体"/>
          <w:sz w:val="32"/>
          <w:szCs w:val="32"/>
        </w:rPr>
        <w:t>个：县能源局、县价格认证中心、县粮食流通检查大队</w:t>
      </w:r>
      <w:r>
        <w:rPr>
          <w:rFonts w:hint="eastAsia" w:ascii="仿宋_GB2312" w:hAnsi="黑体" w:eastAsia="仿宋_GB2312" w:cs="黑体"/>
          <w:sz w:val="32"/>
          <w:szCs w:val="32"/>
          <w:lang w:eastAsia="zh-CN"/>
        </w:rPr>
        <w:t>、县节能监察中心、</w:t>
      </w:r>
      <w:r>
        <w:rPr>
          <w:rFonts w:hint="eastAsia" w:ascii="仿宋_GB2312" w:hAnsi="黑体" w:eastAsia="仿宋_GB2312" w:cs="黑体"/>
          <w:sz w:val="32"/>
          <w:szCs w:val="32"/>
        </w:rPr>
        <w:t>项目开发建设</w:t>
      </w:r>
      <w:r>
        <w:rPr>
          <w:rFonts w:hint="eastAsia" w:ascii="仿宋_GB2312" w:hAnsi="黑体" w:eastAsia="仿宋_GB2312" w:cs="黑体"/>
          <w:sz w:val="32"/>
          <w:szCs w:val="32"/>
          <w:lang w:eastAsia="zh-CN"/>
        </w:rPr>
        <w:t>中心</w:t>
      </w:r>
      <w:r>
        <w:rPr>
          <w:rFonts w:hint="eastAsia" w:ascii="仿宋_GB2312" w:hAnsi="黑体" w:eastAsia="仿宋_GB2312" w:cs="黑体"/>
          <w:sz w:val="32"/>
          <w:szCs w:val="32"/>
        </w:rPr>
        <w:t>。</w:t>
      </w:r>
    </w:p>
    <w:p>
      <w:pPr>
        <w:numPr>
          <w:ilvl w:val="0"/>
          <w:numId w:val="0"/>
        </w:numPr>
        <w:spacing w:line="600" w:lineRule="exact"/>
        <w:ind w:firstLine="320" w:firstLineChars="1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spacing w:line="600" w:lineRule="exact"/>
        <w:ind w:firstLine="640" w:firstLineChars="200"/>
        <w:rPr>
          <w:rFonts w:hint="eastAsia" w:ascii="仿宋_GB2312" w:hAnsi="黑体" w:eastAsia="仿宋_GB2312" w:cs="黑体"/>
          <w:kern w:val="2"/>
          <w:sz w:val="32"/>
          <w:szCs w:val="32"/>
          <w:lang w:val="en-US" w:eastAsia="zh-CN" w:bidi="ar-SA"/>
        </w:rPr>
      </w:pPr>
      <w:r>
        <w:rPr>
          <w:rFonts w:hint="eastAsia" w:ascii="黑体" w:hAnsi="黑体" w:eastAsia="黑体" w:cs="黑体"/>
          <w:b w:val="0"/>
          <w:bCs w:val="0"/>
          <w:sz w:val="32"/>
          <w:szCs w:val="32"/>
          <w:lang w:val="en-US" w:eastAsia="zh-CN"/>
        </w:rPr>
        <w:t xml:space="preserve"> </w:t>
      </w:r>
      <w:r>
        <w:rPr>
          <w:rFonts w:hint="eastAsia" w:ascii="仿宋_GB2312" w:hAnsi="黑体" w:eastAsia="仿宋_GB2312" w:cs="黑体"/>
          <w:kern w:val="2"/>
          <w:sz w:val="32"/>
          <w:szCs w:val="32"/>
          <w:lang w:val="en-US" w:eastAsia="zh-CN" w:bidi="ar-SA"/>
        </w:rPr>
        <w:t xml:space="preserve"> 1.收入支出结构分析。</w:t>
      </w:r>
    </w:p>
    <w:p>
      <w:pPr>
        <w:pStyle w:val="2"/>
        <w:spacing w:line="600" w:lineRule="exact"/>
        <w:ind w:firstLine="960" w:firstLineChars="3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本年本单位总收入为2305.42万元，其中：财政拨款收入2305.42万元，占总收入的 100%。总支出2299.48万元，其中：基本支出840.31万元，项目支出1459.16万元。</w:t>
      </w:r>
    </w:p>
    <w:p>
      <w:pPr>
        <w:pStyle w:val="2"/>
        <w:spacing w:line="60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2.收入支出与以前年度对比分析：</w:t>
      </w:r>
    </w:p>
    <w:p>
      <w:pPr>
        <w:spacing w:line="60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本年总收入为2305.42万元，比上年同比增加590.46万元，增加34.43 %；总支出为2299.48万元，比上年同比增加640.42万元，增加38.6%。</w:t>
      </w:r>
    </w:p>
    <w:p>
      <w:pPr>
        <w:pStyle w:val="2"/>
        <w:spacing w:line="60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3.资产负债情况分析：</w:t>
      </w:r>
    </w:p>
    <w:p>
      <w:pPr>
        <w:pStyle w:val="2"/>
        <w:spacing w:line="60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本单位资产总额106.38万元，本年资产减少15.31万元，比上年同比减少12.58%。</w:t>
      </w:r>
    </w:p>
    <w:p>
      <w:pPr>
        <w:pStyle w:val="2"/>
        <w:spacing w:line="60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4.与财政部门的对账情况：</w:t>
      </w:r>
    </w:p>
    <w:p>
      <w:pPr>
        <w:pStyle w:val="2"/>
        <w:spacing w:line="60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本年度实际收到的一般预算财政拨款收入2305.42万元，与财政拨款核对相符。</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default" w:ascii="仿宋_GB2312" w:hAnsi="黑体" w:eastAsia="仿宋_GB2312" w:cs="黑体"/>
          <w:kern w:val="2"/>
          <w:sz w:val="32"/>
          <w:szCs w:val="32"/>
          <w:lang w:val="en-US" w:eastAsia="zh-CN" w:bidi="ar-SA"/>
        </w:rPr>
      </w:pPr>
      <w:r>
        <w:rPr>
          <w:rFonts w:hint="eastAsia" w:ascii="黑体" w:hAnsi="黑体" w:eastAsia="黑体" w:cs="黑体"/>
          <w:sz w:val="32"/>
          <w:szCs w:val="32"/>
        </w:rPr>
        <w:t xml:space="preserve">  </w:t>
      </w:r>
      <w:r>
        <w:rPr>
          <w:rFonts w:hint="eastAsia" w:ascii="仿宋_GB2312" w:hAnsi="黑体" w:eastAsia="仿宋_GB2312" w:cs="黑体"/>
          <w:kern w:val="2"/>
          <w:sz w:val="32"/>
          <w:szCs w:val="32"/>
          <w:lang w:val="en-US" w:eastAsia="zh-CN" w:bidi="ar-SA"/>
        </w:rPr>
        <w:t>本年本单位总支出2299.48万元，其中：基本支出840.31万元，占总支出的36.54%。（其中：工资福利支出534.09万元，占基本支出的63.56%，商品和服务支出56.72万元，占基本支出的6.75%，对个人和家庭的补助支出1.02万元，占基本支出的0.12%，其他资本性支出  万元，占基本支出的 ，对企业补助支出 173.98 。占基本支出的20.7% 。项目支出291.84，占总支出的12.69%；项目支出1459.16，占总支出的63.46%。</w:t>
      </w:r>
    </w:p>
    <w:p>
      <w:pPr>
        <w:ind w:firstLine="320" w:firstLineChars="100"/>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firstLine="648"/>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2020年“三公”经费支出合计0.14万元，比2019年1.64万元，减少1.5万元。具体为：</w:t>
      </w:r>
    </w:p>
    <w:p>
      <w:pPr>
        <w:spacing w:line="600" w:lineRule="exact"/>
        <w:ind w:firstLine="648"/>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1.因公出国（境）费用0万元。本年度单位无出国（境）情况。</w:t>
      </w:r>
    </w:p>
    <w:p>
      <w:pPr>
        <w:spacing w:line="600" w:lineRule="exact"/>
        <w:ind w:firstLine="648"/>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2公务用车购置和运行费0万元。</w:t>
      </w:r>
    </w:p>
    <w:p>
      <w:pPr>
        <w:spacing w:line="600" w:lineRule="exact"/>
        <w:ind w:firstLine="648"/>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3.公务接待费0.4万元。主要用于按规定开支的种类公务接待支出。比2019年减少了1.5万元，减少91.46%。接待2批次，7人次。主要原因是主要原因是厉行节约，开源节流。</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年度我局机关运行经费支出总额</w:t>
      </w:r>
      <w:r>
        <w:rPr>
          <w:rFonts w:hint="eastAsia" w:ascii="仿宋_GB2312" w:hAnsi="仿宋_GB2312" w:eastAsia="仿宋_GB2312" w:cs="仿宋_GB2312"/>
          <w:sz w:val="32"/>
          <w:szCs w:val="32"/>
          <w:lang w:val="en-US" w:eastAsia="zh-CN"/>
        </w:rPr>
        <w:t>305.2</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29.33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的主要原因一是机关运行经费统计口径有所变化</w:t>
      </w:r>
      <w:r>
        <w:rPr>
          <w:rFonts w:hint="eastAsia" w:ascii="仿宋_GB2312" w:hAnsi="仿宋_GB2312" w:eastAsia="仿宋_GB2312" w:cs="仿宋_GB2312"/>
          <w:sz w:val="32"/>
          <w:szCs w:val="32"/>
          <w:lang w:eastAsia="zh-CN"/>
        </w:rPr>
        <w:t>。</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本部门2020年度政府采购支出总额19.14万元，其中：政府采购货物支出9.09万元、政府采购工程支出XX万元、政府采购服务支出10.05万元。</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仿宋_GB2312" w:hAnsi="黑体" w:eastAsia="仿宋_GB2312" w:cs="黑体"/>
          <w:kern w:val="2"/>
          <w:sz w:val="32"/>
          <w:szCs w:val="32"/>
          <w:lang w:val="en-US" w:eastAsia="zh-CN" w:bidi="ar-SA"/>
        </w:rPr>
        <w:t>291.84</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12.63</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default" w:ascii="宋体" w:hAnsi="宋体" w:eastAsia="仿宋_GB2312" w:cs="仿宋_GB2312"/>
          <w:sz w:val="28"/>
          <w:szCs w:val="28"/>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政府性基金支出</w:t>
      </w:r>
      <w:r>
        <w:rPr>
          <w:rFonts w:hint="eastAsia" w:ascii="仿宋_GB2312" w:hAnsi="仿宋_GB2312" w:eastAsia="仿宋_GB2312" w:cs="仿宋_GB2312"/>
          <w:sz w:val="32"/>
          <w:szCs w:val="32"/>
          <w:lang w:val="en-US" w:eastAsia="zh-CN"/>
        </w:rPr>
        <w:t>967.32万元。分别为：10000吨粮食收纳仓项目和可调式低温冷藏冷冻库建设项目890万元；九功粮库室外附属工程77.32万元。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B4F57"/>
    <w:multiLevelType w:val="singleLevel"/>
    <w:tmpl w:val="F3EB4F57"/>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1851581"/>
    <w:rsid w:val="13356199"/>
    <w:rsid w:val="221D4BA1"/>
    <w:rsid w:val="25EC7790"/>
    <w:rsid w:val="28D9231D"/>
    <w:rsid w:val="437976F0"/>
    <w:rsid w:val="4E7E7EEC"/>
    <w:rsid w:val="4F1A4E9D"/>
    <w:rsid w:val="528746F4"/>
    <w:rsid w:val="5477648B"/>
    <w:rsid w:val="55BB5EAD"/>
    <w:rsid w:val="5B517CBB"/>
    <w:rsid w:val="5D2C2476"/>
    <w:rsid w:val="5EA32385"/>
    <w:rsid w:val="6EDE6DF3"/>
    <w:rsid w:val="6F976DD2"/>
    <w:rsid w:val="706F5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Char Char Char"/>
    <w:basedOn w:val="5"/>
    <w:link w:val="8"/>
    <w:qFormat/>
    <w:locked/>
    <w:uiPriority w:val="99"/>
    <w:rPr>
      <w:rFonts w:eastAsia="仿宋_GB2312"/>
      <w:kern w:val="32"/>
      <w:sz w:val="32"/>
      <w:szCs w:val="32"/>
    </w:rPr>
  </w:style>
  <w:style w:type="paragraph" w:customStyle="1" w:styleId="8">
    <w:name w:val="Char Char"/>
    <w:basedOn w:val="1"/>
    <w:link w:val="7"/>
    <w:qFormat/>
    <w:uiPriority w:val="99"/>
    <w:rPr>
      <w:rFonts w:eastAsia="仿宋_GB2312"/>
      <w:kern w:val="3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2021-08-04T09:47:13Z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