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中共崇信县委组织部</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overflowPunct/>
        <w:topLinePunct/>
        <w:autoSpaceDE w:val="0"/>
        <w:autoSpaceDN w:val="0"/>
        <w:bidi w:val="0"/>
        <w:adjustRightInd w:val="0"/>
        <w:spacing w:line="55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u w:val="none" w:color="auto"/>
        </w:rPr>
        <w:t>指导全县组织系统自身建设，负责部机关党建和部门自身建设工作。负责贯彻执行党中央和省、市、县委关于老干部工作的方针政策，研究起草老干部工作的有关规定和办法。负责落实全县离休干部政治待遇、生活待遇。负责接待和办理老干部来信来访。指导全县老干部党组织建设，落实老干部学习教育工作，组织开展丰富多彩的老干部文化生活，发挥离退休老同志的正能量作用。</w:t>
      </w:r>
    </w:p>
    <w:p>
      <w:pPr>
        <w:keepNext w:val="0"/>
        <w:keepLines w:val="0"/>
        <w:pageBreakBefore w:val="0"/>
        <w:widowControl w:val="0"/>
        <w:kinsoku/>
        <w:overflowPunct/>
        <w:topLinePunct/>
        <w:autoSpaceDE w:val="0"/>
        <w:autoSpaceDN w:val="0"/>
        <w:bidi w:val="0"/>
        <w:adjustRightInd w:val="0"/>
        <w:spacing w:line="55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u w:val="none" w:color="auto"/>
        </w:rPr>
        <w:t>负责党的组织建设的宏观管理和综合业务。负责落实与基层党建工作相关领导小组的工作部署。研究和指导党的基层组织建设工作，参与有关工作调查、经验总结、理论研究，负责起草有关政策性文件和法规。协调落实中央和省、市、县委关于党的基层组织建设的各项部署、要求和具体任务，开展党（工）委书记抓基层党建工作述职评议考核工作。负责研究和指导全县党的组织制度建设工作，提出加强党的工作制度、党内生活制度的意见建议。就党的组织设置原则、隶属关系、活动内容、工作方式等提出意见。研究和指导全县党员队伍建设，指导发展党员和党员管理工作，做好党内统计业务，指导协调全县党员教育工作。负责党费管理。负责指导开展党建品牌创建、党建难题破解等基层党建创新性工作。指导全县党员电化教育工作。负责全县党组织组织史编撰业务的指导和续编工作。研究和指导党代表联络工作。会同有关方面，对各党委换届选举及民主生活会进行指导。督促、指导和协调非公有制经济组织党总支和社会组织党总支抓好党建工作。</w:t>
      </w:r>
    </w:p>
    <w:p>
      <w:pPr>
        <w:keepNext w:val="0"/>
        <w:keepLines w:val="0"/>
        <w:pageBreakBefore w:val="0"/>
        <w:widowControl w:val="0"/>
        <w:kinsoku/>
        <w:overflowPunct/>
        <w:topLinePunct/>
        <w:autoSpaceDE w:val="0"/>
        <w:autoSpaceDN w:val="0"/>
        <w:bidi w:val="0"/>
        <w:adjustRightInd w:val="0"/>
        <w:spacing w:line="55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pacing w:val="4"/>
          <w:sz w:val="32"/>
          <w:szCs w:val="32"/>
          <w:u w:val="none" w:color="auto"/>
        </w:rPr>
        <w:t>负责贯彻执行党的干部路线方针政策，研究制定加强县管领导班子思想政治建设、深化干部人事制度改革、领导班子和干部队伍建设的意见和管理办法。负责县管领导班子和科级干部教育、管理、考核、考评工作；落实县委关于加强科级干部队伍建设的相关部署和要求，办理县管科级干部选任报备、推荐考察、审查审核、任免业务。负责“三方面”干部、优秀年轻干部、挂职干部和县管科级后备干部的培养、教育、管理工作。负责全县科级干部、全县公务员、党群部门干部人事档案管理和档案信息化建设工作。指导相关单位的干部人事档案管理业务工作。负责全县公务员综合管理工作。落实关于公务员管理的各项法律法规和政策规定，组织实施公务员职位分类、录用、考核、登记、奖惩、培训、调配与辞职辞退、申诉控告等工作。承担公务员信息管理及统计年报工作。负责全县科级干部、全县公务员和党群序列工作人员日常管理工作。负责干部出国（境）管理、请销假管理、个人重大事项报告备案等工作。负责全县公务员和党群序列事业人员聘用、考核、奖惩、培训、调配与辞退等工作。负责干部监督工作。贯彻执行干部监督相关规定，开展对全县干部监督工作的宏观指导和督促检查，对反映县管领导班子和科级干部的有关问题进行调查了解和督办，落实相关组织处理措施。负责全县人才工作的宏观管理和政策指导。研究制定人才队伍建设的政策和规划，抓好人才资源的开发，做好人才的引进、培养、管理和使用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kinsoku/>
        <w:overflowPunct/>
        <w:topLinePunct/>
        <w:autoSpaceDE w:val="0"/>
        <w:autoSpaceDN w:val="0"/>
        <w:bidi w:val="0"/>
        <w:adjustRightInd w:val="0"/>
        <w:spacing w:line="55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color w:val="000000"/>
          <w:kern w:val="0"/>
          <w:sz w:val="32"/>
          <w:szCs w:val="32"/>
          <w:highlight w:val="none"/>
          <w:lang w:eastAsia="zh-CN"/>
        </w:rPr>
        <w:t>县委组织部</w:t>
      </w:r>
      <w:r>
        <w:rPr>
          <w:rFonts w:hint="eastAsia" w:ascii="仿宋_GB2312" w:hAnsi="仿宋_GB2312" w:eastAsia="仿宋_GB2312" w:cs="仿宋_GB2312"/>
          <w:color w:val="000000"/>
          <w:kern w:val="0"/>
          <w:sz w:val="32"/>
          <w:szCs w:val="32"/>
          <w:highlight w:val="none"/>
        </w:rPr>
        <w:t>属于财政全额拨款的行政单位</w:t>
      </w:r>
      <w:r>
        <w:rPr>
          <w:rFonts w:hint="eastAsia" w:ascii="仿宋_GB2312" w:hAnsi="仿宋_GB2312" w:eastAsia="仿宋_GB2312" w:cs="仿宋_GB2312"/>
          <w:color w:val="000000"/>
          <w:kern w:val="0"/>
          <w:sz w:val="32"/>
          <w:szCs w:val="32"/>
          <w:highlight w:val="none"/>
          <w:lang w:eastAsia="zh-CN"/>
        </w:rPr>
        <w:t>，是</w:t>
      </w:r>
      <w:r>
        <w:rPr>
          <w:rFonts w:hint="eastAsia" w:ascii="仿宋_GB2312" w:hAnsi="仿宋_GB2312" w:eastAsia="仿宋_GB2312" w:cs="仿宋_GB2312"/>
          <w:color w:val="auto"/>
          <w:sz w:val="32"/>
          <w:szCs w:val="32"/>
        </w:rPr>
        <w:t>县委工作机关，为正科级，对外</w:t>
      </w:r>
      <w:r>
        <w:rPr>
          <w:rFonts w:hint="eastAsia" w:ascii="仿宋_GB2312" w:hAnsi="仿宋_GB2312" w:eastAsia="仿宋_GB2312" w:cs="仿宋_GB2312"/>
          <w:color w:val="auto"/>
          <w:sz w:val="32"/>
          <w:szCs w:val="32"/>
          <w:u w:val="none" w:color="auto"/>
        </w:rPr>
        <w:t>加挂县公务员局、</w:t>
      </w:r>
      <w:r>
        <w:rPr>
          <w:rFonts w:hint="eastAsia" w:ascii="仿宋_GB2312" w:hAnsi="仿宋_GB2312" w:eastAsia="仿宋_GB2312" w:cs="仿宋_GB2312"/>
          <w:color w:val="auto"/>
          <w:sz w:val="32"/>
          <w:szCs w:val="32"/>
        </w:rPr>
        <w:t>县委</w:t>
      </w:r>
      <w:r>
        <w:rPr>
          <w:rFonts w:hint="eastAsia" w:ascii="仿宋_GB2312" w:hAnsi="仿宋_GB2312" w:eastAsia="仿宋_GB2312" w:cs="仿宋_GB2312"/>
          <w:color w:val="auto"/>
          <w:sz w:val="32"/>
          <w:szCs w:val="32"/>
          <w:u w:val="none" w:color="auto"/>
        </w:rPr>
        <w:t>老干部局、县非公有制经济组织和社会组织工作委员会牌子。</w:t>
      </w:r>
      <w:r>
        <w:rPr>
          <w:rFonts w:hint="eastAsia" w:ascii="仿宋_GB2312" w:hAnsi="仿宋_GB2312" w:eastAsia="仿宋_GB2312" w:cs="仿宋_GB2312"/>
          <w:sz w:val="32"/>
          <w:szCs w:val="32"/>
        </w:rPr>
        <w:t>现内设</w:t>
      </w:r>
      <w:r>
        <w:rPr>
          <w:rFonts w:hint="eastAsia" w:ascii="仿宋_GB2312" w:hAnsi="仿宋_GB2312" w:eastAsia="仿宋_GB2312" w:cs="仿宋_GB2312"/>
          <w:sz w:val="32"/>
          <w:szCs w:val="32"/>
          <w:u w:val="none" w:color="auto"/>
        </w:rPr>
        <w:t>设综合办公室、基层组织建设办公室、干部管理监督办公室3个股级内设机构。</w:t>
      </w:r>
      <w:r>
        <w:rPr>
          <w:rFonts w:hint="eastAsia" w:ascii="仿宋_GB2312" w:hAnsi="仿宋_GB2312" w:eastAsia="仿宋_GB2312" w:cs="仿宋_GB2312"/>
          <w:sz w:val="32"/>
          <w:szCs w:val="32"/>
          <w:u w:val="none" w:color="auto"/>
          <w:lang w:eastAsia="zh-CN"/>
        </w:rPr>
        <w:t>下属崇信</w:t>
      </w:r>
      <w:r>
        <w:rPr>
          <w:rFonts w:hint="eastAsia" w:ascii="仿宋_GB2312" w:hAnsi="仿宋_GB2312" w:eastAsia="仿宋_GB2312" w:cs="仿宋_GB2312"/>
          <w:bCs/>
          <w:sz w:val="32"/>
          <w:szCs w:val="32"/>
          <w:u w:val="none" w:color="auto"/>
        </w:rPr>
        <w:t>县人才工作办公室</w:t>
      </w:r>
      <w:r>
        <w:rPr>
          <w:rFonts w:hint="eastAsia" w:ascii="仿宋_GB2312" w:hAnsi="仿宋_GB2312" w:eastAsia="仿宋_GB2312" w:cs="仿宋_GB2312"/>
          <w:bCs/>
          <w:sz w:val="32"/>
          <w:szCs w:val="32"/>
          <w:u w:val="none" w:color="auto"/>
          <w:lang w:eastAsia="zh-CN"/>
        </w:rPr>
        <w:t>、崇信</w:t>
      </w:r>
      <w:r>
        <w:rPr>
          <w:rFonts w:hint="eastAsia" w:ascii="仿宋_GB2312" w:hAnsi="仿宋_GB2312" w:eastAsia="仿宋_GB2312" w:cs="仿宋_GB2312"/>
          <w:bCs/>
          <w:sz w:val="32"/>
          <w:szCs w:val="32"/>
          <w:u w:val="none" w:color="auto"/>
        </w:rPr>
        <w:t>县农村党员干部现代远程教育工作办公室（</w:t>
      </w:r>
      <w:r>
        <w:rPr>
          <w:rFonts w:hint="eastAsia" w:ascii="仿宋_GB2312" w:hAnsi="仿宋_GB2312" w:eastAsia="仿宋_GB2312" w:cs="仿宋_GB2312"/>
          <w:bCs/>
          <w:sz w:val="32"/>
          <w:szCs w:val="32"/>
          <w:u w:val="none" w:color="auto"/>
          <w:lang w:eastAsia="zh-CN"/>
        </w:rPr>
        <w:t>崇信县</w:t>
      </w:r>
      <w:r>
        <w:rPr>
          <w:rFonts w:hint="eastAsia" w:ascii="仿宋_GB2312" w:hAnsi="仿宋_GB2312" w:eastAsia="仿宋_GB2312" w:cs="仿宋_GB2312"/>
          <w:bCs/>
          <w:sz w:val="32"/>
          <w:szCs w:val="32"/>
          <w:u w:val="none" w:color="auto"/>
        </w:rPr>
        <w:t>党员电化教育工作站）</w:t>
      </w:r>
      <w:r>
        <w:rPr>
          <w:rFonts w:hint="eastAsia" w:ascii="仿宋_GB2312" w:hAnsi="仿宋_GB2312" w:eastAsia="仿宋_GB2312" w:cs="仿宋_GB2312"/>
          <w:bCs/>
          <w:sz w:val="32"/>
          <w:szCs w:val="32"/>
          <w:u w:val="none" w:color="auto"/>
          <w:lang w:eastAsia="zh-CN"/>
        </w:rPr>
        <w:t>、崇信</w:t>
      </w:r>
      <w:r>
        <w:rPr>
          <w:rFonts w:hint="eastAsia" w:ascii="仿宋_GB2312" w:hAnsi="仿宋_GB2312" w:eastAsia="仿宋_GB2312" w:cs="仿宋_GB2312"/>
          <w:sz w:val="32"/>
          <w:szCs w:val="32"/>
        </w:rPr>
        <w:t>县关心下一代工作委员会办公室</w:t>
      </w:r>
      <w:r>
        <w:rPr>
          <w:rFonts w:hint="eastAsia" w:ascii="仿宋_GB2312" w:hAnsi="仿宋_GB2312" w:eastAsia="仿宋_GB2312" w:cs="仿宋_GB2312"/>
          <w:sz w:val="32"/>
          <w:szCs w:val="32"/>
          <w:u w:val="none" w:color="auto"/>
          <w:lang w:val="en-US" w:eastAsia="zh-CN"/>
        </w:rPr>
        <w:t>3个事业单位（其中，</w:t>
      </w:r>
      <w:r>
        <w:rPr>
          <w:rFonts w:hint="eastAsia" w:ascii="仿宋_GB2312" w:hAnsi="仿宋_GB2312" w:eastAsia="仿宋_GB2312" w:cs="仿宋_GB2312"/>
          <w:bCs/>
          <w:sz w:val="32"/>
          <w:szCs w:val="32"/>
          <w:u w:val="none" w:color="auto"/>
        </w:rPr>
        <w:t>县人才工作办公室</w:t>
      </w:r>
      <w:r>
        <w:rPr>
          <w:rFonts w:hint="eastAsia" w:ascii="仿宋_GB2312" w:hAnsi="仿宋_GB2312" w:eastAsia="仿宋_GB2312" w:cs="仿宋_GB2312"/>
          <w:bCs/>
          <w:sz w:val="32"/>
          <w:szCs w:val="32"/>
          <w:u w:val="none" w:color="auto"/>
          <w:lang w:eastAsia="zh-CN"/>
        </w:rPr>
        <w:t>属</w:t>
      </w:r>
      <w:r>
        <w:rPr>
          <w:rFonts w:hint="eastAsia" w:ascii="仿宋_GB2312" w:hAnsi="仿宋_GB2312" w:eastAsia="仿宋_GB2312" w:cs="仿宋_GB2312"/>
          <w:bCs/>
          <w:sz w:val="32"/>
          <w:szCs w:val="32"/>
          <w:u w:val="none" w:color="auto"/>
        </w:rPr>
        <w:t>参照公务员法管理</w:t>
      </w:r>
      <w:r>
        <w:rPr>
          <w:rFonts w:hint="eastAsia" w:ascii="仿宋_GB2312" w:hAnsi="仿宋_GB2312" w:eastAsia="仿宋_GB2312" w:cs="仿宋_GB2312"/>
          <w:bCs/>
          <w:sz w:val="32"/>
          <w:szCs w:val="32"/>
          <w:u w:val="none" w:color="auto"/>
          <w:lang w:eastAsia="zh-CN"/>
        </w:rPr>
        <w:t>事业单位</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现有行政编制10名，事业编制14名，机关工勤编制1名。现有在编在岗人员21人，项目人员1人。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年，县委组织部</w:t>
      </w:r>
      <w:r>
        <w:rPr>
          <w:rFonts w:hint="eastAsia" w:ascii="仿宋_GB2312" w:hAnsi="仿宋_GB2312" w:eastAsia="仿宋_GB2312" w:cs="仿宋_GB2312"/>
          <w:sz w:val="32"/>
          <w:szCs w:val="32"/>
          <w:lang w:eastAsia="zh-CN"/>
        </w:rPr>
        <w:t>年初结转和结余</w:t>
      </w:r>
      <w:r>
        <w:rPr>
          <w:rFonts w:hint="eastAsia" w:ascii="仿宋_GB2312" w:hAnsi="仿宋_GB2312" w:eastAsia="仿宋_GB2312" w:cs="仿宋_GB2312"/>
          <w:sz w:val="32"/>
          <w:szCs w:val="32"/>
          <w:lang w:val="en-US" w:eastAsia="zh-CN"/>
        </w:rPr>
        <w:t>106.99万元，</w:t>
      </w:r>
      <w:r>
        <w:rPr>
          <w:rFonts w:hint="eastAsia" w:ascii="仿宋_GB2312" w:hAnsi="仿宋_GB2312" w:eastAsia="仿宋_GB2312" w:cs="仿宋_GB2312"/>
          <w:sz w:val="32"/>
          <w:szCs w:val="32"/>
        </w:rPr>
        <w:t>决算总收入</w:t>
      </w:r>
      <w:r>
        <w:rPr>
          <w:rFonts w:hint="eastAsia" w:ascii="仿宋_GB2312" w:hAnsi="仿宋_GB2312" w:eastAsia="仿宋_GB2312" w:cs="仿宋_GB2312"/>
          <w:sz w:val="32"/>
          <w:szCs w:val="32"/>
          <w:lang w:val="en-US" w:eastAsia="zh-CN"/>
        </w:rPr>
        <w:t>434.06万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其中：一般预算财政拨款收入</w:t>
      </w:r>
      <w:r>
        <w:rPr>
          <w:rFonts w:hint="eastAsia" w:ascii="仿宋_GB2312" w:hAnsi="仿宋_GB2312" w:eastAsia="仿宋_GB2312" w:cs="仿宋_GB2312"/>
          <w:sz w:val="32"/>
          <w:szCs w:val="32"/>
          <w:lang w:val="en-US" w:eastAsia="zh-CN"/>
        </w:rPr>
        <w:t>434.06</w:t>
      </w:r>
      <w:r>
        <w:rPr>
          <w:rFonts w:hint="eastAsia" w:ascii="仿宋_GB2312" w:hAnsi="仿宋_GB2312" w:eastAsia="仿宋_GB2312" w:cs="仿宋_GB2312"/>
          <w:sz w:val="32"/>
          <w:szCs w:val="32"/>
        </w:rPr>
        <w:t>万元。</w:t>
      </w:r>
    </w:p>
    <w:p>
      <w:pPr>
        <w:numPr>
          <w:ilvl w:val="0"/>
          <w:numId w:val="0"/>
        </w:numPr>
        <w:spacing w:line="600" w:lineRule="exact"/>
        <w:rPr>
          <w:rFonts w:hint="eastAsia" w:ascii="宋体" w:hAnsi="宋体" w:eastAsia="黑体" w:cs="仿宋_GB2312"/>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年，县委组织部决算总支出</w:t>
      </w:r>
      <w:r>
        <w:rPr>
          <w:rFonts w:hint="eastAsia" w:ascii="仿宋_GB2312" w:hAnsi="仿宋_GB2312" w:eastAsia="仿宋_GB2312" w:cs="仿宋_GB2312"/>
          <w:sz w:val="32"/>
          <w:szCs w:val="32"/>
          <w:lang w:val="en-US" w:eastAsia="zh-CN"/>
        </w:rPr>
        <w:t>454.9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，年末结转和结余</w:t>
      </w:r>
      <w:r>
        <w:rPr>
          <w:rFonts w:hint="eastAsia" w:ascii="仿宋_GB2312" w:hAnsi="仿宋_GB2312" w:eastAsia="仿宋_GB2312" w:cs="仿宋_GB2312"/>
          <w:sz w:val="32"/>
          <w:szCs w:val="32"/>
          <w:lang w:val="en-US" w:eastAsia="zh-CN"/>
        </w:rPr>
        <w:t>86.15万元</w:t>
      </w:r>
      <w:r>
        <w:rPr>
          <w:rFonts w:hint="eastAsia" w:ascii="仿宋_GB2312" w:hAnsi="仿宋_GB2312" w:eastAsia="仿宋_GB2312" w:cs="仿宋_GB2312"/>
          <w:sz w:val="32"/>
          <w:szCs w:val="32"/>
        </w:rPr>
        <w:t>。其中：一般公共服务支出</w:t>
      </w:r>
      <w:r>
        <w:rPr>
          <w:rFonts w:hint="eastAsia" w:ascii="仿宋_GB2312" w:hAnsi="仿宋_GB2312" w:eastAsia="仿宋_GB2312" w:cs="仿宋_GB2312"/>
          <w:sz w:val="32"/>
          <w:szCs w:val="32"/>
          <w:lang w:val="en-US" w:eastAsia="zh-CN"/>
        </w:rPr>
        <w:t>416.44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36.46万元，农林水支出2万元。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年，县委组织部支出主要用于组织事务工作正常运转、完成日常工作任务以及县委</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交办的相关工作。</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基本支出，是用于保障正常运转的日常支出，包括基本工资、津贴补贴等人员经费以及办公费、印刷费、水电费、办公设备购置等日常公用经费。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按支出功能分类主要用于以下方面:</w:t>
      </w:r>
    </w:p>
    <w:p>
      <w:pPr>
        <w:ind w:firstLine="640" w:firstLineChars="200"/>
        <w:rPr>
          <w:rFonts w:hint="eastAsia" w:ascii="宋体" w:hAnsi="宋体" w:cs="仿宋_GB2312"/>
          <w:sz w:val="28"/>
          <w:szCs w:val="28"/>
        </w:rPr>
      </w:pPr>
      <w:r>
        <w:rPr>
          <w:rFonts w:hint="eastAsia" w:ascii="仿宋_GB2312" w:hAnsi="仿宋_GB2312" w:eastAsia="仿宋_GB2312" w:cs="仿宋_GB2312"/>
          <w:sz w:val="32"/>
          <w:szCs w:val="32"/>
          <w:highlight w:val="none"/>
        </w:rPr>
        <w:t>一般公共</w:t>
      </w:r>
      <w:r>
        <w:rPr>
          <w:rFonts w:hint="eastAsia" w:ascii="仿宋_GB2312" w:hAnsi="仿宋_GB2312" w:eastAsia="仿宋_GB2312" w:cs="仿宋_GB2312"/>
          <w:sz w:val="32"/>
          <w:szCs w:val="32"/>
          <w:highlight w:val="none"/>
          <w:lang w:eastAsia="zh-CN"/>
        </w:rPr>
        <w:t>预算财政拨款基本支出</w:t>
      </w:r>
      <w:r>
        <w:rPr>
          <w:rFonts w:hint="eastAsia" w:ascii="仿宋_GB2312" w:hAnsi="仿宋_GB2312" w:eastAsia="仿宋_GB2312" w:cs="仿宋_GB2312"/>
          <w:sz w:val="32"/>
          <w:szCs w:val="32"/>
          <w:highlight w:val="none"/>
          <w:lang w:val="en-US" w:eastAsia="zh-CN"/>
        </w:rPr>
        <w:t>454.9万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rPr>
        <w:t>主要用于人员工资及福利支出</w:t>
      </w:r>
      <w:r>
        <w:rPr>
          <w:rFonts w:hint="eastAsia" w:ascii="仿宋_GB2312" w:hAnsi="仿宋_GB2312" w:eastAsia="仿宋_GB2312" w:cs="仿宋_GB2312"/>
          <w:sz w:val="32"/>
          <w:szCs w:val="32"/>
          <w:lang w:val="en-US" w:eastAsia="zh-CN"/>
        </w:rPr>
        <w:t>196.94</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245.72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个人和家庭的补助支出</w:t>
      </w:r>
      <w:r>
        <w:rPr>
          <w:rFonts w:hint="eastAsia" w:ascii="仿宋_GB2312" w:hAnsi="仿宋_GB2312" w:eastAsia="仿宋_GB2312" w:cs="仿宋_GB2312"/>
          <w:sz w:val="32"/>
          <w:szCs w:val="32"/>
          <w:lang w:val="en-US" w:eastAsia="zh-CN"/>
        </w:rPr>
        <w:t>12.25</w:t>
      </w:r>
      <w:r>
        <w:rPr>
          <w:rFonts w:hint="eastAsia" w:ascii="仿宋_GB2312" w:hAnsi="仿宋_GB2312" w:eastAsia="仿宋_GB2312" w:cs="仿宋_GB2312"/>
          <w:sz w:val="32"/>
          <w:szCs w:val="32"/>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bookmarkStart w:id="0" w:name="_GoBack"/>
      <w:bookmarkEnd w:id="0"/>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0.64</w:t>
      </w:r>
      <w:r>
        <w:rPr>
          <w:rFonts w:hint="eastAsia" w:ascii="宋体" w:hAnsi="宋体"/>
          <w:sz w:val="28"/>
          <w:szCs w:val="28"/>
        </w:rPr>
        <w:t>万元，减少</w:t>
      </w:r>
      <w:r>
        <w:rPr>
          <w:rFonts w:hint="eastAsia" w:ascii="宋体" w:hAnsi="宋体" w:cs="仿宋_GB2312"/>
          <w:sz w:val="28"/>
          <w:szCs w:val="28"/>
          <w:lang w:val="en-US" w:eastAsia="zh-CN"/>
        </w:rPr>
        <w:t>0.64</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0.64</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100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人次。主要原因是</w:t>
      </w:r>
      <w:r>
        <w:rPr>
          <w:rFonts w:hint="eastAsia" w:ascii="宋体" w:hAnsi="宋体"/>
          <w:sz w:val="28"/>
          <w:szCs w:val="28"/>
          <w:lang w:eastAsia="zh-CN"/>
        </w:rPr>
        <w:t>控制支出</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rPr>
        <w:t>245.72</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177.71</w:t>
      </w:r>
      <w:r>
        <w:rPr>
          <w:rFonts w:hint="eastAsia" w:ascii="宋体" w:hAnsi="宋体"/>
          <w:sz w:val="28"/>
          <w:szCs w:val="28"/>
        </w:rPr>
        <w:t>万元，</w:t>
      </w:r>
      <w:r>
        <w:rPr>
          <w:rFonts w:hint="eastAsia" w:ascii="宋体" w:hAnsi="宋体"/>
          <w:sz w:val="28"/>
          <w:szCs w:val="28"/>
          <w:lang w:eastAsia="zh-CN"/>
        </w:rPr>
        <w:t>赠</w:t>
      </w:r>
      <w:r>
        <w:rPr>
          <w:rFonts w:hint="eastAsia" w:ascii="宋体" w:hAnsi="宋体"/>
          <w:sz w:val="28"/>
          <w:szCs w:val="28"/>
        </w:rPr>
        <w:t>幅</w:t>
      </w:r>
      <w:r>
        <w:rPr>
          <w:rFonts w:hint="eastAsia" w:ascii="宋体" w:hAnsi="宋体" w:cs="仿宋_GB2312"/>
          <w:sz w:val="28"/>
          <w:szCs w:val="28"/>
          <w:lang w:val="en-US" w:eastAsia="zh-CN"/>
        </w:rPr>
        <w:t>261</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本部门2020年度政府采购支出总额0万元，其中：政府采购货物支出0万元、政府采购工程支出0万元、政府采购服务支出0万元。授予中小企业合同金额0万元，占政府采购支出总额的0%。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w:t>
      </w:r>
      <w:r>
        <w:rPr>
          <w:rFonts w:hint="eastAsia" w:ascii="宋体" w:hAnsi="宋体"/>
          <w:sz w:val="28"/>
          <w:szCs w:val="28"/>
          <w:lang w:val="en-US"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w:t>
      </w:r>
      <w:r>
        <w:rPr>
          <w:rFonts w:hint="eastAsia" w:ascii="仿宋_GB2312" w:hAnsi="仿宋_GB2312" w:eastAsia="仿宋_GB2312" w:cs="仿宋_GB2312"/>
          <w:sz w:val="32"/>
          <w:szCs w:val="32"/>
          <w:lang w:val="en-US" w:eastAsia="zh-CN"/>
        </w:rPr>
        <w:t>政府性基金支出。</w:t>
      </w:r>
      <w:r>
        <w:rPr>
          <w:rFonts w:hint="eastAsia" w:ascii="仿宋_GB2312" w:hAnsi="仿宋_GB2312" w:eastAsia="仿宋_GB2312" w:cs="仿宋_GB2312"/>
          <w:sz w:val="32"/>
          <w:szCs w:val="32"/>
        </w:rPr>
        <w:t xml:space="preserve"> </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7963328">
    <w:nsid w:val="6108BFC0"/>
    <w:multiLevelType w:val="singleLevel"/>
    <w:tmpl w:val="6108BFC0"/>
    <w:lvl w:ilvl="0" w:tentative="1">
      <w:start w:val="1"/>
      <w:numFmt w:val="chineseCounting"/>
      <w:suff w:val="nothing"/>
      <w:lvlText w:val="%1、"/>
      <w:lvlJc w:val="left"/>
    </w:lvl>
  </w:abstractNum>
  <w:abstractNum w:abstractNumId="1505210239">
    <w:nsid w:val="59B7AF7F"/>
    <w:multiLevelType w:val="singleLevel"/>
    <w:tmpl w:val="59B7AF7F"/>
    <w:lvl w:ilvl="0" w:tentative="1">
      <w:start w:val="2"/>
      <w:numFmt w:val="chineseCounting"/>
      <w:suff w:val="nothing"/>
      <w:lvlText w:val="%1、"/>
      <w:lvlJc w:val="left"/>
    </w:lvl>
  </w:abstractNum>
  <w:num w:numId="1">
    <w:abstractNumId w:val="1627963328"/>
  </w:num>
  <w:num w:numId="2">
    <w:abstractNumId w:val="1505210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B0401B"/>
    <w:rsid w:val="0B6956A6"/>
    <w:rsid w:val="13356199"/>
    <w:rsid w:val="1EF22AD5"/>
    <w:rsid w:val="28D9231D"/>
    <w:rsid w:val="45892025"/>
    <w:rsid w:val="4E7E7EEC"/>
    <w:rsid w:val="525D2F2D"/>
    <w:rsid w:val="6BB640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widowControl w:val="0"/>
      <w:wordWrap w:val="0"/>
      <w:topLinePunct/>
      <w:autoSpaceDE w:val="0"/>
      <w:autoSpaceDN w:val="0"/>
      <w:adjustRightInd w:val="0"/>
      <w:spacing w:after="120" w:line="240" w:lineRule="auto"/>
      <w:ind w:firstLine="200" w:firstLineChars="200"/>
      <w:textAlignment w:val="auto"/>
    </w:pPr>
    <w:rPr>
      <w:rFonts w:eastAsia="宋体"/>
      <w:color w:val="auto"/>
      <w:kern w:val="32"/>
      <w:sz w:val="32"/>
      <w:szCs w:val="28"/>
      <w:u w:val="none" w:color="auto"/>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2021-08-03T09:19:02Z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75DC49DCDFBB45E09AD0BCD48D701284</vt:lpwstr>
  </property>
</Properties>
</file>