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崇信县自然资源局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20年度部门（汇总）</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决算公开说明</w:t>
      </w:r>
    </w:p>
    <w:p>
      <w:pPr>
        <w:spacing w:line="560" w:lineRule="exact"/>
        <w:jc w:val="center"/>
        <w:rPr>
          <w:rFonts w:ascii="方正小标宋简体" w:hAnsi="方正小标宋简体" w:eastAsia="方正小标宋简体" w:cs="方正小标宋简体"/>
          <w:sz w:val="18"/>
          <w:szCs w:val="18"/>
        </w:rPr>
      </w:pPr>
    </w:p>
    <w:p>
      <w:pPr>
        <w:pStyle w:val="9"/>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部门职责</w:t>
      </w:r>
    </w:p>
    <w:p>
      <w:pPr>
        <w:pStyle w:val="9"/>
        <w:spacing w:line="560" w:lineRule="exact"/>
        <w:ind w:left="-143" w:leftChars="-68" w:firstLine="56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崇信县自然资源局机关为正科级单位，承担保护与合理利用土地资源、矿产资源等自然资源的责任；规范国土资源管理秩序，调查处理各类国土资源违法案件；优化配置国土资源，规范国土资源权属管理，贯彻落实耕地保护政策；负责矿产资源开发管理，监测矿产资源储量；承担地质环境保护、地质灾害预防和治理的责任；依法征收资源收益，规范、监督资金使用。</w:t>
      </w:r>
    </w:p>
    <w:p>
      <w:pPr>
        <w:pStyle w:val="9"/>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机构设置</w:t>
      </w:r>
    </w:p>
    <w:p>
      <w:pPr>
        <w:topLinePunct/>
        <w:autoSpaceDE w:val="0"/>
        <w:autoSpaceDN w:val="0"/>
        <w:adjustRightInd w:val="0"/>
        <w:spacing w:line="56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shd w:val="clear" w:color="auto" w:fill="FFFFFF"/>
        </w:rPr>
        <w:t>属全额财政拨款预算单位，</w:t>
      </w:r>
      <w:r>
        <w:rPr>
          <w:rFonts w:hint="eastAsia" w:cs="仿宋_GB2312" w:asciiTheme="minorEastAsia" w:hAnsiTheme="minorEastAsia" w:eastAsiaTheme="minorEastAsia"/>
          <w:sz w:val="28"/>
          <w:szCs w:val="28"/>
        </w:rPr>
        <w:t>对外加挂县林业和草原局、县不动产登记管理局、县绿化委员会办公室牌子。原国土局</w:t>
      </w:r>
      <w:r>
        <w:rPr>
          <w:rFonts w:hint="eastAsia" w:cs="仿宋_GB2312" w:asciiTheme="minorEastAsia" w:hAnsiTheme="minorEastAsia" w:eastAsiaTheme="minorEastAsia"/>
          <w:sz w:val="28"/>
          <w:szCs w:val="28"/>
          <w:shd w:val="clear" w:color="auto" w:fill="FFFFFF"/>
        </w:rPr>
        <w:t>内设</w:t>
      </w:r>
      <w:r>
        <w:rPr>
          <w:rFonts w:hint="eastAsia" w:asciiTheme="minorEastAsia" w:hAnsiTheme="minorEastAsia" w:eastAsiaTheme="minorEastAsia"/>
          <w:sz w:val="28"/>
          <w:szCs w:val="28"/>
        </w:rPr>
        <w:t>下属事业单位7个有：执法监察大队、矿产资源管理站、测绘办、土地收购储备中心、土地整理中心、土地评审中心、不动产登记中心。派出机构</w:t>
      </w:r>
      <w:r>
        <w:rPr>
          <w:rFonts w:asciiTheme="minorEastAsia" w:hAnsiTheme="minorEastAsia" w:eastAsiaTheme="minorEastAsia"/>
          <w:sz w:val="28"/>
          <w:szCs w:val="28"/>
        </w:rPr>
        <w:t>4</w:t>
      </w:r>
      <w:r>
        <w:rPr>
          <w:rFonts w:hint="eastAsia" w:asciiTheme="minorEastAsia" w:hAnsiTheme="minorEastAsia" w:eastAsiaTheme="minorEastAsia"/>
          <w:sz w:val="28"/>
          <w:szCs w:val="28"/>
        </w:rPr>
        <w:t>个（于2020年6月撤销）有：锦屏分局、新窑分局、黄寨中心所、黄花中心所。</w:t>
      </w:r>
    </w:p>
    <w:p>
      <w:pPr>
        <w:topLinePunct/>
        <w:autoSpaceDE w:val="0"/>
        <w:autoSpaceDN w:val="0"/>
        <w:adjustRightInd w:val="0"/>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2019年2月，机构改革并入规划事务中心、林草局下属林业技术推广站、林木病虫害防治工作站、油用牡丹产业发展中心。</w:t>
      </w:r>
    </w:p>
    <w:p>
      <w:pPr>
        <w:topLinePunct/>
        <w:autoSpaceDE w:val="0"/>
        <w:autoSpaceDN w:val="0"/>
        <w:adjustRightInd w:val="0"/>
        <w:spacing w:line="560" w:lineRule="exact"/>
        <w:ind w:firstLine="280" w:firstLineChars="100"/>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现实有在职人数163人，其中：行政10人，参公9人，事业144人（其中自收自支1人），供养10人。</w:t>
      </w:r>
    </w:p>
    <w:p>
      <w:pPr>
        <w:pStyle w:val="9"/>
        <w:numPr>
          <w:ilvl w:val="0"/>
          <w:numId w:val="1"/>
        </w:numPr>
        <w:spacing w:line="560" w:lineRule="exact"/>
        <w:ind w:hanging="1004" w:firstLineChars="0"/>
        <w:rPr>
          <w:rFonts w:ascii="黑体" w:eastAsia="黑体" w:cs="黑体" w:hAnsiTheme="minorEastAsia"/>
          <w:sz w:val="32"/>
          <w:szCs w:val="32"/>
        </w:rPr>
      </w:pPr>
      <w:r>
        <w:rPr>
          <w:rFonts w:hint="eastAsia" w:ascii="黑体" w:eastAsia="黑体" w:cs="黑体" w:hAnsiTheme="minorEastAsia"/>
          <w:sz w:val="32"/>
          <w:szCs w:val="32"/>
        </w:rPr>
        <w:t>收支决算总体情况</w:t>
      </w:r>
    </w:p>
    <w:p>
      <w:pPr>
        <w:spacing w:line="560" w:lineRule="exact"/>
        <w:ind w:left="-1" w:leftChars="-67" w:hanging="140" w:hangingChars="50"/>
        <w:rPr>
          <w:rFonts w:cs="仿宋_GB2312" w:asciiTheme="minorEastAsia" w:hAnsiTheme="minorEastAsia" w:eastAsiaTheme="minorEastAsia"/>
          <w:sz w:val="28"/>
          <w:szCs w:val="28"/>
        </w:rPr>
      </w:pPr>
      <w:r>
        <w:rPr>
          <w:rFonts w:hint="eastAsia" w:cs="黑体" w:asciiTheme="minorEastAsia" w:hAnsiTheme="minorEastAsia" w:eastAsiaTheme="minorEastAsia"/>
          <w:sz w:val="28"/>
          <w:szCs w:val="28"/>
        </w:rPr>
        <w:t xml:space="preserve">    本年本单位总收入为7497.16万元，其中：财政拨款收入  7497.16万元，占总收入的 100 %。</w:t>
      </w:r>
    </w:p>
    <w:p>
      <w:pPr>
        <w:spacing w:line="560" w:lineRule="exact"/>
        <w:rPr>
          <w:rFonts w:ascii="黑体" w:eastAsia="黑体" w:cs="仿宋_GB2312" w:hAnsiTheme="minorEastAsia"/>
          <w:sz w:val="32"/>
          <w:szCs w:val="32"/>
        </w:rPr>
      </w:pPr>
      <w:r>
        <w:rPr>
          <w:rFonts w:hint="eastAsia" w:ascii="黑体" w:eastAsia="黑体" w:cs="黑体" w:hAnsiTheme="minorEastAsia"/>
          <w:sz w:val="32"/>
          <w:szCs w:val="32"/>
        </w:rPr>
        <w:t>四、财政拨款支出决算情况</w:t>
      </w:r>
    </w:p>
    <w:p>
      <w:pPr>
        <w:spacing w:line="560" w:lineRule="exact"/>
        <w:ind w:firstLine="560" w:firstLineChars="200"/>
        <w:rPr>
          <w:rFonts w:cs="仿宋_GB2312" w:asciiTheme="minorEastAsia" w:hAnsiTheme="minorEastAsia" w:eastAsiaTheme="minorEastAsia"/>
          <w:sz w:val="28"/>
          <w:szCs w:val="28"/>
        </w:rPr>
      </w:pPr>
      <w:r>
        <w:rPr>
          <w:rFonts w:hint="eastAsia" w:cs="黑体" w:asciiTheme="minorEastAsia" w:hAnsiTheme="minorEastAsia" w:eastAsiaTheme="minorEastAsia"/>
          <w:sz w:val="28"/>
          <w:szCs w:val="28"/>
        </w:rPr>
        <w:t>本年总支出7552.95万元，其中：基本支出2681.11万元，占总支出的35.5%，（其中：工资福利支出1370.341万元，占基本支出的 51.1%，商品和服务支出415.55万元，占总支出的5.5 %，对个人和家庭补助支出392.28万元，其他资本性支出  0万元）；项目支出 4871.84万元，其中：行政事业类项目支出 4871.84万元。</w:t>
      </w:r>
    </w:p>
    <w:p>
      <w:pPr>
        <w:spacing w:line="560" w:lineRule="exact"/>
        <w:rPr>
          <w:rFonts w:ascii="黑体" w:eastAsia="黑体" w:cs="黑体" w:hAnsiTheme="minorEastAsia"/>
          <w:sz w:val="32"/>
          <w:szCs w:val="32"/>
        </w:rPr>
      </w:pPr>
      <w:r>
        <w:rPr>
          <w:rFonts w:hint="eastAsia" w:ascii="黑体" w:eastAsia="黑体" w:cs="黑体" w:hAnsiTheme="minorEastAsia"/>
          <w:sz w:val="32"/>
          <w:szCs w:val="32"/>
        </w:rPr>
        <w:t>五、“三公”经费支出情况</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2020年“三公”经费支出合计</w:t>
      </w:r>
      <w:r>
        <w:rPr>
          <w:rFonts w:hint="eastAsia" w:cs="仿宋_GB2312" w:asciiTheme="minorEastAsia" w:hAnsiTheme="minorEastAsia" w:eastAsiaTheme="minorEastAsia"/>
          <w:sz w:val="28"/>
          <w:szCs w:val="28"/>
          <w:lang w:val="en-US" w:eastAsia="zh-CN"/>
        </w:rPr>
        <w:t>4.74</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与</w:t>
      </w:r>
      <w:r>
        <w:rPr>
          <w:rFonts w:hint="eastAsia" w:asciiTheme="minorEastAsia" w:hAnsiTheme="minorEastAsia" w:eastAsiaTheme="minorEastAsia"/>
          <w:sz w:val="28"/>
          <w:szCs w:val="28"/>
        </w:rPr>
        <w:t>2019年</w:t>
      </w:r>
      <w:r>
        <w:rPr>
          <w:rFonts w:hint="eastAsia" w:cs="仿宋_GB2312" w:asciiTheme="minorEastAsia" w:hAnsiTheme="minorEastAsia" w:eastAsiaTheme="minorEastAsia"/>
          <w:sz w:val="28"/>
          <w:szCs w:val="28"/>
        </w:rPr>
        <w:t>持平</w:t>
      </w:r>
      <w:r>
        <w:rPr>
          <w:rFonts w:hint="eastAsia" w:asciiTheme="minorEastAsia" w:hAnsiTheme="minorEastAsia" w:eastAsiaTheme="minorEastAsia"/>
          <w:sz w:val="28"/>
          <w:szCs w:val="28"/>
        </w:rPr>
        <w:t>。</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1.因公出国（境）费用</w:t>
      </w:r>
      <w:r>
        <w:rPr>
          <w:rFonts w:hint="eastAsia" w:cs="仿宋_GB2312" w:asciiTheme="minorEastAsia" w:hAnsiTheme="minorEastAsia" w:eastAsiaTheme="minorEastAsia"/>
          <w:sz w:val="28"/>
          <w:szCs w:val="28"/>
        </w:rPr>
        <w:t>0</w:t>
      </w:r>
      <w:r>
        <w:rPr>
          <w:rFonts w:hint="eastAsia" w:asciiTheme="minorEastAsia" w:hAnsiTheme="minorEastAsia" w:eastAsiaTheme="minorEastAsia"/>
          <w:sz w:val="28"/>
          <w:szCs w:val="28"/>
        </w:rPr>
        <w:t>万元。本年度单位无出国（境）情况。</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2公务用车购置和运行费</w:t>
      </w:r>
      <w:r>
        <w:rPr>
          <w:rFonts w:hint="eastAsia" w:cs="仿宋_GB2312" w:asciiTheme="minorEastAsia" w:hAnsiTheme="minorEastAsia" w:eastAsiaTheme="minorEastAsia"/>
          <w:sz w:val="28"/>
          <w:szCs w:val="28"/>
        </w:rPr>
        <w:t>0</w:t>
      </w:r>
      <w:r>
        <w:rPr>
          <w:rFonts w:hint="eastAsia" w:asciiTheme="minorEastAsia" w:hAnsiTheme="minorEastAsia" w:eastAsiaTheme="minorEastAsia"/>
          <w:sz w:val="28"/>
          <w:szCs w:val="28"/>
        </w:rPr>
        <w:t>万元。公务用车保有量</w:t>
      </w:r>
      <w:r>
        <w:rPr>
          <w:rFonts w:hint="eastAsia" w:cs="仿宋_GB2312" w:asciiTheme="minorEastAsia" w:hAnsiTheme="minorEastAsia" w:eastAsiaTheme="minorEastAsia"/>
          <w:sz w:val="28"/>
          <w:szCs w:val="28"/>
        </w:rPr>
        <w:t>2</w:t>
      </w:r>
      <w:r>
        <w:rPr>
          <w:rFonts w:hint="eastAsia" w:asciiTheme="minorEastAsia" w:hAnsiTheme="minorEastAsia" w:eastAsiaTheme="minorEastAsia"/>
          <w:sz w:val="28"/>
          <w:szCs w:val="28"/>
        </w:rPr>
        <w:t>辆。2020年无公务用车购置费,公务用车运行维护费</w:t>
      </w:r>
      <w:r>
        <w:rPr>
          <w:rFonts w:hint="eastAsia" w:cs="仿宋_GB2312" w:asciiTheme="minorEastAsia" w:hAnsiTheme="minorEastAsia" w:eastAsiaTheme="minorEastAsia"/>
          <w:sz w:val="28"/>
          <w:szCs w:val="28"/>
        </w:rPr>
        <w:t>3.53</w:t>
      </w:r>
      <w:r>
        <w:rPr>
          <w:rFonts w:hint="eastAsia" w:asciiTheme="minorEastAsia" w:hAnsiTheme="minorEastAsia" w:eastAsiaTheme="minorEastAsia"/>
          <w:sz w:val="28"/>
          <w:szCs w:val="28"/>
        </w:rPr>
        <w:t>万元，主要用于油费及维修等项的支出。</w:t>
      </w:r>
      <w:bookmarkStart w:id="0" w:name="_GoBack"/>
      <w:bookmarkEnd w:id="0"/>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3.公务接待费</w:t>
      </w:r>
      <w:r>
        <w:rPr>
          <w:rFonts w:hint="eastAsia" w:cs="仿宋_GB2312" w:asciiTheme="minorEastAsia" w:hAnsiTheme="minorEastAsia" w:eastAsiaTheme="minorEastAsia"/>
          <w:sz w:val="28"/>
          <w:szCs w:val="28"/>
        </w:rPr>
        <w:t>1.21</w:t>
      </w:r>
      <w:r>
        <w:rPr>
          <w:rFonts w:hint="eastAsia" w:asciiTheme="minorEastAsia" w:hAnsiTheme="minorEastAsia" w:eastAsiaTheme="minorEastAsia"/>
          <w:sz w:val="28"/>
          <w:szCs w:val="28"/>
        </w:rPr>
        <w:t>万元。主要用于按规定开支的种类公务接待支出。比2019年减少了</w:t>
      </w:r>
      <w:r>
        <w:rPr>
          <w:rFonts w:hint="eastAsia" w:cs="仿宋_GB2312" w:asciiTheme="minorEastAsia" w:hAnsiTheme="minorEastAsia" w:eastAsiaTheme="minorEastAsia"/>
          <w:sz w:val="28"/>
          <w:szCs w:val="28"/>
        </w:rPr>
        <w:t>0.03</w:t>
      </w:r>
      <w:r>
        <w:rPr>
          <w:rFonts w:hint="eastAsia" w:asciiTheme="minorEastAsia" w:hAnsiTheme="minorEastAsia" w:eastAsiaTheme="minorEastAsia"/>
          <w:sz w:val="28"/>
          <w:szCs w:val="28"/>
        </w:rPr>
        <w:t>万元，减幅</w:t>
      </w:r>
      <w:r>
        <w:rPr>
          <w:rFonts w:hint="eastAsia" w:cs="仿宋_GB2312" w:asciiTheme="minorEastAsia" w:hAnsiTheme="minorEastAsia" w:eastAsiaTheme="minorEastAsia"/>
          <w:sz w:val="28"/>
          <w:szCs w:val="28"/>
        </w:rPr>
        <w:t>2.41</w:t>
      </w:r>
      <w:r>
        <w:rPr>
          <w:rFonts w:hint="eastAsia" w:asciiTheme="minorEastAsia" w:hAnsiTheme="minorEastAsia" w:eastAsiaTheme="minorEastAsia"/>
          <w:sz w:val="28"/>
          <w:szCs w:val="28"/>
        </w:rPr>
        <w:t>%。接待</w:t>
      </w:r>
      <w:r>
        <w:rPr>
          <w:rFonts w:hint="eastAsia" w:asciiTheme="minorEastAsia" w:hAnsiTheme="minorEastAsia" w:eastAsiaTheme="minorEastAsia"/>
          <w:sz w:val="28"/>
          <w:szCs w:val="28"/>
          <w:lang w:val="en-US" w:eastAsia="zh-CN"/>
        </w:rPr>
        <w:t>38</w:t>
      </w:r>
      <w:r>
        <w:rPr>
          <w:rFonts w:hint="eastAsia" w:asciiTheme="minorEastAsia" w:hAnsiTheme="minorEastAsia" w:eastAsiaTheme="minorEastAsia"/>
          <w:sz w:val="28"/>
          <w:szCs w:val="28"/>
        </w:rPr>
        <w:t>批次，</w:t>
      </w:r>
      <w:r>
        <w:rPr>
          <w:rFonts w:hint="eastAsia" w:asciiTheme="minorEastAsia" w:hAnsiTheme="minorEastAsia" w:eastAsiaTheme="minorEastAsia"/>
          <w:sz w:val="28"/>
          <w:szCs w:val="28"/>
          <w:lang w:val="en-US" w:eastAsia="zh-CN"/>
        </w:rPr>
        <w:t>352</w:t>
      </w:r>
      <w:r>
        <w:rPr>
          <w:rFonts w:hint="eastAsia" w:asciiTheme="minorEastAsia" w:hAnsiTheme="minorEastAsia" w:eastAsiaTheme="minorEastAsia"/>
          <w:sz w:val="28"/>
          <w:szCs w:val="28"/>
        </w:rPr>
        <w:t>人次。压缩三公经费。</w:t>
      </w:r>
    </w:p>
    <w:p>
      <w:pPr>
        <w:spacing w:line="560" w:lineRule="exact"/>
        <w:rPr>
          <w:rFonts w:ascii="黑体" w:eastAsia="黑体" w:cs="黑体" w:hAnsiTheme="minorEastAsia"/>
          <w:sz w:val="32"/>
          <w:szCs w:val="32"/>
        </w:rPr>
      </w:pPr>
      <w:r>
        <w:rPr>
          <w:rFonts w:hint="eastAsia" w:ascii="黑体" w:eastAsia="黑体" w:cs="黑体" w:hAnsiTheme="minorEastAsia"/>
          <w:sz w:val="32"/>
          <w:szCs w:val="32"/>
        </w:rPr>
        <w:t>六、机关运行经费支出情况</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2020年度我局机关运行经费支出总额</w:t>
      </w:r>
      <w:r>
        <w:rPr>
          <w:rFonts w:hint="eastAsia" w:cs="仿宋_GB2312" w:asciiTheme="minorEastAsia" w:hAnsiTheme="minorEastAsia" w:eastAsiaTheme="minorEastAsia"/>
          <w:sz w:val="28"/>
          <w:szCs w:val="28"/>
        </w:rPr>
        <w:t>858.44</w:t>
      </w:r>
      <w:r>
        <w:rPr>
          <w:rFonts w:hint="eastAsia" w:asciiTheme="minorEastAsia" w:hAnsiTheme="minorEastAsia" w:eastAsiaTheme="minorEastAsia"/>
          <w:sz w:val="28"/>
          <w:szCs w:val="28"/>
        </w:rPr>
        <w:t>万元，与2019年相比较增加。主要原因一是机关运行经费统计口径有所变化，二是公车改革后，人员增加，经费预算增加，费用增加。</w:t>
      </w:r>
    </w:p>
    <w:p>
      <w:pPr>
        <w:widowControl/>
        <w:shd w:val="clear" w:color="auto" w:fill="FFFFFF"/>
        <w:spacing w:line="560" w:lineRule="exact"/>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560" w:lineRule="exact"/>
        <w:ind w:firstLine="648"/>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截止2020年12月31日，本部门共有车辆</w:t>
      </w:r>
      <w:r>
        <w:rPr>
          <w:rFonts w:hint="eastAsia" w:cs="黑体" w:asciiTheme="minorEastAsia" w:hAnsiTheme="minorEastAsia" w:eastAsiaTheme="minorEastAsia"/>
          <w:sz w:val="28"/>
          <w:szCs w:val="28"/>
          <w:lang w:val="en-US" w:eastAsia="zh-CN"/>
        </w:rPr>
        <w:t>5</w:t>
      </w:r>
      <w:r>
        <w:rPr>
          <w:rFonts w:hint="eastAsia" w:cs="黑体" w:asciiTheme="minorEastAsia" w:hAnsiTheme="minorEastAsia" w:eastAsiaTheme="minorEastAsia"/>
          <w:sz w:val="28"/>
          <w:szCs w:val="28"/>
        </w:rPr>
        <w:t>辆，其中，领导干部用车0辆、一般公务用车0辆、一般执法执勤用车1辆、特种专业技术用车0辆、其他用车0辆，其他用车</w:t>
      </w:r>
      <w:r>
        <w:rPr>
          <w:rFonts w:hint="eastAsia" w:cs="黑体" w:asciiTheme="minorEastAsia" w:hAnsiTheme="minorEastAsia" w:eastAsiaTheme="minorEastAsia"/>
          <w:sz w:val="28"/>
          <w:szCs w:val="28"/>
          <w:lang w:val="en-US" w:eastAsia="zh-CN"/>
        </w:rPr>
        <w:t>4</w:t>
      </w:r>
      <w:r>
        <w:rPr>
          <w:rFonts w:hint="eastAsia" w:cs="黑体" w:asciiTheme="minorEastAsia" w:hAnsiTheme="minorEastAsia" w:eastAsiaTheme="minorEastAsia"/>
          <w:sz w:val="28"/>
          <w:szCs w:val="28"/>
        </w:rPr>
        <w:t>辆。主要是森林防护等；单位价值50万元以上通用设备0 台（套），单价100万元以上专用设备 0台（套）。</w:t>
      </w:r>
    </w:p>
    <w:p>
      <w:pPr>
        <w:spacing w:line="560" w:lineRule="exact"/>
        <w:ind w:firstLine="648"/>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本部门2020年度政府采购支出总额2056.79万元，其中：政府采购货物支出555.14万元、政府采购工程支出657.12万元、政府采购服务支出844.53万元。授予中小企业合同金额0万元，占政府采购支出总额的0%。</w:t>
      </w:r>
    </w:p>
    <w:p>
      <w:pPr>
        <w:spacing w:line="560" w:lineRule="exact"/>
      </w:pPr>
      <w:r>
        <w:rPr>
          <w:rFonts w:hint="eastAsia" w:ascii="黑体" w:hAnsi="黑体" w:eastAsia="黑体" w:cs="黑体"/>
          <w:sz w:val="32"/>
          <w:szCs w:val="32"/>
        </w:rPr>
        <w:t>八、部门预算绩效评价情况</w:t>
      </w:r>
    </w:p>
    <w:p>
      <w:pPr>
        <w:pStyle w:val="4"/>
        <w:spacing w:before="0" w:beforeAutospacing="0" w:after="0" w:afterAutospacing="0" w:line="560" w:lineRule="exact"/>
        <w:ind w:firstLine="603"/>
        <w:textAlignment w:val="baseline"/>
        <w:rPr>
          <w:rFonts w:cs="Arial" w:asciiTheme="minorEastAsia" w:hAnsiTheme="minorEastAsia" w:eastAsiaTheme="minorEastAsia"/>
          <w:color w:val="333333"/>
          <w:sz w:val="28"/>
          <w:szCs w:val="28"/>
        </w:rPr>
      </w:pPr>
      <w:r>
        <w:rPr>
          <w:rFonts w:hint="eastAsia"/>
          <w:sz w:val="28"/>
          <w:szCs w:val="28"/>
        </w:rPr>
        <w:t xml:space="preserve">  </w:t>
      </w:r>
      <w:r>
        <w:rPr>
          <w:rFonts w:hint="eastAsia" w:asciiTheme="minorEastAsia" w:hAnsiTheme="minorEastAsia" w:eastAsiaTheme="minorEastAsia"/>
          <w:sz w:val="28"/>
          <w:szCs w:val="28"/>
        </w:rPr>
        <w:t xml:space="preserve">  根据财政预算管理要求，我部门组织对2020年度一般公共服务预算项目总支出7552.95万元，全部开展绩效评价。其中：基本支出2681.11万元，项目支出4871.84万元。资金</w:t>
      </w:r>
      <w:r>
        <w:rPr>
          <w:rFonts w:cs="Arial" w:asciiTheme="minorEastAsia" w:hAnsiTheme="minorEastAsia" w:eastAsiaTheme="minorEastAsia"/>
          <w:color w:val="333333"/>
          <w:sz w:val="28"/>
          <w:szCs w:val="28"/>
        </w:rPr>
        <w:t>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我单位较好地完成了20</w:t>
      </w:r>
      <w:r>
        <w:rPr>
          <w:rFonts w:hint="eastAsia" w:cs="Arial" w:asciiTheme="minorEastAsia" w:hAnsiTheme="minorEastAsia" w:eastAsiaTheme="minorEastAsia"/>
          <w:color w:val="333333"/>
          <w:sz w:val="28"/>
          <w:szCs w:val="28"/>
        </w:rPr>
        <w:t>20</w:t>
      </w:r>
      <w:r>
        <w:rPr>
          <w:rFonts w:cs="Arial" w:asciiTheme="minorEastAsia" w:hAnsiTheme="minorEastAsia" w:eastAsiaTheme="minorEastAsia"/>
          <w:color w:val="333333"/>
          <w:sz w:val="28"/>
          <w:szCs w:val="28"/>
        </w:rPr>
        <w:t>年初设定的工作任务，各项项目得到有序开展。到年底完成全部项目的100%，资金拨付达到100%，完成项目验收率达到100%。</w:t>
      </w:r>
    </w:p>
    <w:p>
      <w:pPr>
        <w:spacing w:line="560" w:lineRule="exact"/>
        <w:rPr>
          <w:rFonts w:ascii="黑体" w:hAnsi="黑体" w:eastAsia="黑体" w:cs="黑体"/>
          <w:sz w:val="32"/>
          <w:szCs w:val="32"/>
        </w:rPr>
      </w:pPr>
      <w:r>
        <w:rPr>
          <w:rFonts w:hint="eastAsia" w:ascii="黑体" w:hAnsi="黑体" w:eastAsia="黑体" w:cs="黑体"/>
          <w:sz w:val="32"/>
          <w:szCs w:val="32"/>
        </w:rPr>
        <w:t>九、政府性基金支出情况</w:t>
      </w:r>
    </w:p>
    <w:p>
      <w:pPr>
        <w:pStyle w:val="4"/>
        <w:spacing w:before="0" w:beforeAutospacing="0" w:after="0" w:afterAutospacing="0" w:line="560" w:lineRule="exact"/>
        <w:ind w:firstLine="560" w:firstLineChars="200"/>
        <w:textAlignment w:val="baseline"/>
        <w:rPr>
          <w:rFonts w:cs="Arial" w:asciiTheme="minorEastAsia" w:hAnsiTheme="minorEastAsia" w:eastAsiaTheme="minorEastAsia"/>
          <w:color w:val="333333"/>
          <w:sz w:val="30"/>
          <w:szCs w:val="30"/>
        </w:rPr>
      </w:pPr>
      <w:r>
        <w:rPr>
          <w:rFonts w:hint="eastAsia" w:asciiTheme="minorEastAsia" w:hAnsiTheme="minorEastAsia" w:eastAsiaTheme="minorEastAsia"/>
          <w:sz w:val="28"/>
          <w:szCs w:val="28"/>
        </w:rPr>
        <w:t>本年度单位政府性基金支出112.23万元，其中：国有土地使用权出让收入安排的支出土地开发资金19.37万元，其他国有土地使用权出让收入安排的支出92.86万元。</w:t>
      </w:r>
    </w:p>
    <w:p>
      <w:pPr>
        <w:spacing w:line="560" w:lineRule="exact"/>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（一）财政拨款收入：指本年度从本级财政部门取得的财政拨款，包括一般公共预算财政拨款和政府性基金预算财政拨款。</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（二）事业收入：指事业单位开展专业业务活动及其辅助活动取得的收入；事业单位收到的财政专户实际核拨的教育收费等资金在此反映。</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（三）经营收入：指事业单位在专业业务活动及其辅助活动之外开展非独立核算经营活动取得的收入。</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（六）年初结转和结余：指单位上年结转本年使用的基本支出结转、项目支出结转和结余、经营结余。不包括事业单位净资产项下的事业基金和专用基金。</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（八）年末结转和结余：指单位结转下年的基本支出结转、项目支出结转和结余、经营结余。不包括事业单位净资产项下的事业基金和专用基金。</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（十）项目支出：指在基本支出之外为完成特定行政任务和事业发展目标所发生的支出。</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（十一）经营支出：指事业单位在专业业务活动及其辅助活动之外开展非独立核算经营活动发生的支出。</w:t>
      </w:r>
    </w:p>
    <w:p>
      <w:pPr>
        <w:spacing w:line="560" w:lineRule="exact"/>
        <w:ind w:right="-191" w:rightChars="-91"/>
        <w:rPr>
          <w:rFonts w:asciiTheme="minorEastAsia" w:hAnsiTheme="minorEastAsia" w:eastAsiaTheme="minorEastAsia"/>
          <w:sz w:val="28"/>
          <w:szCs w:val="28"/>
        </w:rPr>
      </w:pPr>
      <w:r>
        <w:rPr>
          <w:rFonts w:hint="eastAsia" w:asciiTheme="minorEastAsia" w:hAnsiTheme="minorEastAsia" w:eastAsiaTheme="minorEastAsia"/>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（十四）工资福利支出（支出经济分类科目类级）：反映单位开支的在职职工和编制外长期聘用人员的各类劳动报酬，以及为上述人员缴纳的各项社会保险费等。</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（十五）商品和服务支出（支出经济分类科目类级）：反映单位购买商品和服务的支出（不包括用于购置固定资产的支出、战略性和应急储备支出）。</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（十六）对个人和家庭的补助（支出经济分类科目类级）：反映用于对个人和家庭的补助支出。</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560" w:lineRule="exact"/>
        <w:ind w:firstLine="636"/>
        <w:rPr>
          <w:rFonts w:cs="仿宋_GB2312" w:asciiTheme="minorEastAsia" w:hAnsiTheme="minorEastAsia" w:eastAsiaTheme="minorEastAsia"/>
          <w:sz w:val="28"/>
          <w:szCs w:val="28"/>
        </w:rPr>
      </w:pPr>
    </w:p>
    <w:p>
      <w:pPr>
        <w:widowControl/>
        <w:shd w:val="clear" w:color="auto" w:fill="FFFFFF"/>
        <w:spacing w:line="560" w:lineRule="exact"/>
        <w:jc w:val="left"/>
        <w:rPr>
          <w:rFonts w:cs="宋体" w:asciiTheme="minorEastAsia" w:hAnsiTheme="minorEastAsia" w:eastAsiaTheme="minorEastAsia"/>
          <w:kern w:val="0"/>
          <w:sz w:val="24"/>
        </w:rPr>
      </w:pPr>
    </w:p>
    <w:p>
      <w:pPr>
        <w:spacing w:line="560" w:lineRule="exact"/>
        <w:ind w:left="420" w:firstLine="289"/>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附表：</w:t>
      </w:r>
      <w:r>
        <w:rPr>
          <w:rFonts w:hint="eastAsia" w:asciiTheme="minorEastAsia" w:hAnsiTheme="minorEastAsia" w:eastAsiaTheme="minorEastAsia"/>
          <w:sz w:val="28"/>
          <w:szCs w:val="28"/>
        </w:rPr>
        <w:t>1.收入支出决算总表</w:t>
      </w:r>
    </w:p>
    <w:p>
      <w:pPr>
        <w:spacing w:line="5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2.收入决算表</w:t>
      </w:r>
    </w:p>
    <w:p>
      <w:pPr>
        <w:spacing w:line="5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3.支出决算表</w:t>
      </w:r>
    </w:p>
    <w:p>
      <w:pPr>
        <w:spacing w:line="5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4.财政拨款收入支出决算总表</w:t>
      </w:r>
    </w:p>
    <w:p>
      <w:pPr>
        <w:spacing w:line="5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5.一般公共预算财政拨款支出决算表</w:t>
      </w:r>
    </w:p>
    <w:p>
      <w:pPr>
        <w:spacing w:line="5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6.一般公共预算财政拨款基本支出决算表</w:t>
      </w:r>
    </w:p>
    <w:p>
      <w:pPr>
        <w:spacing w:line="5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7.一般公共预算财政拨款“三公”经费支出决算表</w:t>
      </w:r>
    </w:p>
    <w:p>
      <w:pPr>
        <w:spacing w:line="5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8.政府性基金预算财政拨款收入支出决算表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9.</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国有资本经营预算财政拨款支出决算表</w:t>
      </w:r>
    </w:p>
    <w:p>
      <w:pPr>
        <w:ind w:firstLine="1540" w:firstLineChars="550"/>
        <w:jc w:val="left"/>
        <w:rPr>
          <w:rFonts w:asciiTheme="minorEastAsia" w:hAnsiTheme="minorEastAsia" w:eastAsiaTheme="minorEastAsia"/>
          <w:sz w:val="28"/>
          <w:szCs w:val="28"/>
          <w:u w:val="thick"/>
        </w:rPr>
      </w:pPr>
      <w:r>
        <w:rPr>
          <w:rFonts w:hint="eastAsia" w:asciiTheme="minorEastAsia" w:hAnsiTheme="minorEastAsia" w:eastAsiaTheme="minorEastAsia"/>
          <w:sz w:val="28"/>
          <w:szCs w:val="28"/>
          <w:u w:val="thick"/>
        </w:rPr>
        <w:t>10．</w:t>
      </w:r>
      <w:r>
        <w:rPr>
          <w:rFonts w:hint="eastAsia" w:asciiTheme="minorEastAsia" w:hAnsiTheme="minorEastAsia" w:eastAsiaTheme="minorEastAsia"/>
          <w:sz w:val="28"/>
          <w:szCs w:val="28"/>
        </w:rPr>
        <w:t xml:space="preserve"> 政府采购情况表</w:t>
      </w:r>
    </w:p>
    <w:p>
      <w:pPr>
        <w:rPr>
          <w:rFonts w:asciiTheme="minorEastAsia" w:hAnsiTheme="minorEastAsia" w:eastAsiaTheme="minorEastAsia"/>
        </w:rPr>
      </w:pPr>
    </w:p>
    <w:sectPr>
      <w:footerReference r:id="rId3" w:type="default"/>
      <w:footerReference r:id="rId4" w:type="even"/>
      <w:pgSz w:w="11906" w:h="16838"/>
      <w:pgMar w:top="1440" w:right="1466" w:bottom="1440" w:left="212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F6D70"/>
    <w:multiLevelType w:val="multilevel"/>
    <w:tmpl w:val="6ABF6D70"/>
    <w:lvl w:ilvl="0" w:tentative="0">
      <w:start w:val="1"/>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D9231D"/>
    <w:rsid w:val="000D5508"/>
    <w:rsid w:val="001269FD"/>
    <w:rsid w:val="0013415F"/>
    <w:rsid w:val="00190A50"/>
    <w:rsid w:val="00213342"/>
    <w:rsid w:val="0026098B"/>
    <w:rsid w:val="002709E1"/>
    <w:rsid w:val="003D35A5"/>
    <w:rsid w:val="003E1C3E"/>
    <w:rsid w:val="004046EC"/>
    <w:rsid w:val="005B76E4"/>
    <w:rsid w:val="00613502"/>
    <w:rsid w:val="006B11C7"/>
    <w:rsid w:val="007057BD"/>
    <w:rsid w:val="0074609A"/>
    <w:rsid w:val="00754BC2"/>
    <w:rsid w:val="0081005C"/>
    <w:rsid w:val="008711EC"/>
    <w:rsid w:val="00872A4D"/>
    <w:rsid w:val="00912B43"/>
    <w:rsid w:val="00947985"/>
    <w:rsid w:val="009E7CB5"/>
    <w:rsid w:val="009F7D2C"/>
    <w:rsid w:val="00B87704"/>
    <w:rsid w:val="00BB4885"/>
    <w:rsid w:val="00BC615F"/>
    <w:rsid w:val="00C91DBB"/>
    <w:rsid w:val="00CE0F0B"/>
    <w:rsid w:val="00CF7242"/>
    <w:rsid w:val="00D14200"/>
    <w:rsid w:val="00D64E86"/>
    <w:rsid w:val="00DD0618"/>
    <w:rsid w:val="00DD6DF3"/>
    <w:rsid w:val="00E149E1"/>
    <w:rsid w:val="00F718B7"/>
    <w:rsid w:val="00FD29DB"/>
    <w:rsid w:val="1D846AF0"/>
    <w:rsid w:val="28D9231D"/>
    <w:rsid w:val="58506AFF"/>
    <w:rsid w:val="5C3E7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513</Words>
  <Characters>2930</Characters>
  <Lines>24</Lines>
  <Paragraphs>6</Paragraphs>
  <TotalTime>107</TotalTime>
  <ScaleCrop>false</ScaleCrop>
  <LinksUpToDate>false</LinksUpToDate>
  <CharactersWithSpaces>3437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2020-09-03T00:47:00Z</dcterms:created>
  <dc:creator>快乐一天</dc:creator>
  <cp:lastModifiedBy>cxnfb</cp:lastModifiedBy>
  <cp:lastPrinted>2021-08-04T07:45:00Z</cp:lastPrinted>
  <dcterms:modified xsi:type="dcterms:W3CDTF">2021-08-04T09:30:47Z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07FAFC0FA110426D8FBED3902BBB9DFA</vt:lpwstr>
  </property>
</Properties>
</file>