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崇信县自然资源局</w:t>
      </w: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rPr>
        <w:t>20年度（本级）部门</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决算公开说明</w:t>
      </w:r>
    </w:p>
    <w:p>
      <w:pPr>
        <w:spacing w:line="600" w:lineRule="exact"/>
        <w:jc w:val="center"/>
        <w:rPr>
          <w:rFonts w:ascii="方正小标宋简体" w:hAnsi="方正小标宋简体" w:eastAsia="方正小标宋简体" w:cs="方正小标宋简体"/>
          <w:sz w:val="18"/>
          <w:szCs w:val="18"/>
        </w:rPr>
      </w:pPr>
    </w:p>
    <w:p>
      <w:pPr>
        <w:pStyle w:val="9"/>
        <w:numPr>
          <w:ilvl w:val="0"/>
          <w:numId w:val="1"/>
        </w:numPr>
        <w:spacing w:line="560" w:lineRule="exact"/>
        <w:ind w:firstLineChars="0"/>
        <w:rPr>
          <w:rFonts w:ascii="黑体" w:hAnsi="黑体" w:eastAsia="黑体" w:cs="黑体"/>
          <w:sz w:val="32"/>
          <w:szCs w:val="32"/>
        </w:rPr>
      </w:pPr>
      <w:r>
        <w:rPr>
          <w:rFonts w:hint="eastAsia" w:ascii="黑体" w:hAnsi="黑体" w:eastAsia="黑体" w:cs="黑体"/>
          <w:sz w:val="32"/>
          <w:szCs w:val="32"/>
        </w:rPr>
        <w:t>部门职责</w:t>
      </w:r>
    </w:p>
    <w:p>
      <w:pPr>
        <w:pStyle w:val="9"/>
        <w:spacing w:line="560" w:lineRule="exact"/>
        <w:ind w:left="-143" w:leftChars="-68" w:firstLine="56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崇信县自然资源局机关为正科级单位，承担保护与合理利用土地资源、矿产资源等自然资源的责任；规范国土资源管理秩序，调查处理各类国土资源违法案件；优化配置国土资源，规范国土资源权属管理，贯彻落实耕地保护政策；负责矿产资源开发管理，监测矿产资源储量；承担地质环境保护、地质灾害预防和治理的责任；依法征收资源收益，规范、监督资金使用。</w:t>
      </w:r>
    </w:p>
    <w:p>
      <w:pPr>
        <w:pStyle w:val="9"/>
        <w:numPr>
          <w:ilvl w:val="0"/>
          <w:numId w:val="1"/>
        </w:numPr>
        <w:spacing w:line="560" w:lineRule="exact"/>
        <w:ind w:firstLineChars="0"/>
        <w:rPr>
          <w:rFonts w:ascii="黑体" w:hAnsi="黑体" w:eastAsia="黑体" w:cs="黑体"/>
          <w:sz w:val="32"/>
          <w:szCs w:val="32"/>
        </w:rPr>
      </w:pPr>
      <w:r>
        <w:rPr>
          <w:rFonts w:hint="eastAsia" w:ascii="黑体" w:hAnsi="黑体" w:eastAsia="黑体" w:cs="黑体"/>
          <w:sz w:val="32"/>
          <w:szCs w:val="32"/>
        </w:rPr>
        <w:t>机构设置</w:t>
      </w:r>
    </w:p>
    <w:p>
      <w:pPr>
        <w:topLinePunct/>
        <w:autoSpaceDE w:val="0"/>
        <w:autoSpaceDN w:val="0"/>
        <w:adjustRightInd w:val="0"/>
        <w:spacing w:line="560" w:lineRule="exact"/>
        <w:ind w:right="-475" w:rightChars="-226"/>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shd w:val="clear" w:color="auto" w:fill="FFFFFF"/>
        </w:rPr>
        <w:t>属全额财政拨款预算单位，</w:t>
      </w:r>
      <w:r>
        <w:rPr>
          <w:rFonts w:hint="eastAsia" w:cs="仿宋_GB2312" w:asciiTheme="minorEastAsia" w:hAnsiTheme="minorEastAsia" w:eastAsiaTheme="minorEastAsia"/>
          <w:sz w:val="28"/>
          <w:szCs w:val="28"/>
        </w:rPr>
        <w:t>对外加挂县林业和草原局、县不动产登记管理局、县绿化委员会办公室牌子。原国土局</w:t>
      </w:r>
      <w:r>
        <w:rPr>
          <w:rFonts w:hint="eastAsia" w:cs="仿宋_GB2312" w:asciiTheme="minorEastAsia" w:hAnsiTheme="minorEastAsia" w:eastAsiaTheme="minorEastAsia"/>
          <w:sz w:val="28"/>
          <w:szCs w:val="28"/>
          <w:shd w:val="clear" w:color="auto" w:fill="FFFFFF"/>
        </w:rPr>
        <w:t>内设</w:t>
      </w:r>
      <w:r>
        <w:rPr>
          <w:rFonts w:hint="eastAsia" w:asciiTheme="minorEastAsia" w:hAnsiTheme="minorEastAsia" w:eastAsiaTheme="minorEastAsia"/>
          <w:sz w:val="28"/>
          <w:szCs w:val="28"/>
        </w:rPr>
        <w:t>下属事业单位7个有：执法监察大队、矿产资源管理站、测绘办、土地收购储备中心、土地整理中心、土地评审中心、不动产登记中心。派出机构</w:t>
      </w:r>
      <w:r>
        <w:rPr>
          <w:rFonts w:asciiTheme="minorEastAsia" w:hAnsiTheme="minorEastAsia" w:eastAsiaTheme="minorEastAsia"/>
          <w:sz w:val="28"/>
          <w:szCs w:val="28"/>
        </w:rPr>
        <w:t>4</w:t>
      </w:r>
      <w:r>
        <w:rPr>
          <w:rFonts w:hint="eastAsia" w:asciiTheme="minorEastAsia" w:hAnsiTheme="minorEastAsia" w:eastAsiaTheme="minorEastAsia"/>
          <w:sz w:val="28"/>
          <w:szCs w:val="28"/>
        </w:rPr>
        <w:t>个有：锦屏分局、新窑分局、黄寨中心所、黄花中心所（4个分局（所）于2020年5月撤销）。</w:t>
      </w:r>
    </w:p>
    <w:p>
      <w:pPr>
        <w:topLinePunct/>
        <w:autoSpaceDE w:val="0"/>
        <w:autoSpaceDN w:val="0"/>
        <w:adjustRightInd w:val="0"/>
        <w:spacing w:line="560" w:lineRule="exact"/>
        <w:ind w:firstLine="420"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2019年2月，机构改革并入规划事务中心、林草局下属林业技术推广站、林木病虫害防治工作站、油用牡丹产业发展中心。</w:t>
      </w:r>
    </w:p>
    <w:p>
      <w:pPr>
        <w:topLinePunct/>
        <w:autoSpaceDE w:val="0"/>
        <w:autoSpaceDN w:val="0"/>
        <w:adjustRightInd w:val="0"/>
        <w:spacing w:line="560" w:lineRule="exact"/>
        <w:ind w:firstLine="280" w:firstLineChars="100"/>
        <w:rPr>
          <w:rFonts w:cs="仿宋_GB2312" w:asciiTheme="minorEastAsia" w:hAnsiTheme="minorEastAsia" w:eastAsiaTheme="minorEastAsia"/>
          <w:sz w:val="28"/>
          <w:szCs w:val="28"/>
        </w:rPr>
      </w:pPr>
      <w:r>
        <w:rPr>
          <w:rFonts w:hint="eastAsia" w:asciiTheme="minorEastAsia" w:hAnsiTheme="minorEastAsia" w:eastAsiaTheme="minorEastAsia"/>
          <w:sz w:val="28"/>
          <w:szCs w:val="28"/>
        </w:rPr>
        <w:t>现实有人数86人，其中：行政10人，参公1人，事业75人（其中自收自支1人），供养10人。</w:t>
      </w:r>
    </w:p>
    <w:p>
      <w:pPr>
        <w:pStyle w:val="9"/>
        <w:numPr>
          <w:ilvl w:val="0"/>
          <w:numId w:val="1"/>
        </w:numPr>
        <w:spacing w:line="560" w:lineRule="exact"/>
        <w:ind w:hanging="1004" w:firstLineChars="0"/>
        <w:rPr>
          <w:rFonts w:ascii="黑体" w:eastAsia="黑体" w:cs="黑体" w:hAnsiTheme="minorEastAsia"/>
          <w:sz w:val="32"/>
          <w:szCs w:val="32"/>
        </w:rPr>
      </w:pPr>
      <w:r>
        <w:rPr>
          <w:rFonts w:hint="eastAsia" w:ascii="黑体" w:eastAsia="黑体" w:cs="黑体" w:hAnsiTheme="minorEastAsia"/>
          <w:sz w:val="32"/>
          <w:szCs w:val="32"/>
        </w:rPr>
        <w:t>收支决算总体情况</w:t>
      </w:r>
    </w:p>
    <w:p>
      <w:pPr>
        <w:spacing w:line="560" w:lineRule="exact"/>
        <w:ind w:left="-1" w:leftChars="-67" w:hanging="140" w:hangingChars="50"/>
        <w:rPr>
          <w:rFonts w:cs="仿宋_GB2312" w:asciiTheme="minorEastAsia" w:hAnsiTheme="minorEastAsia" w:eastAsiaTheme="minorEastAsia"/>
          <w:sz w:val="28"/>
          <w:szCs w:val="28"/>
        </w:rPr>
      </w:pPr>
      <w:r>
        <w:rPr>
          <w:rFonts w:hint="eastAsia" w:cs="黑体" w:asciiTheme="minorEastAsia" w:hAnsiTheme="minorEastAsia" w:eastAsiaTheme="minorEastAsia"/>
          <w:sz w:val="28"/>
          <w:szCs w:val="28"/>
        </w:rPr>
        <w:t xml:space="preserve">    本年本单位总收入为5895.84万元，其中：财政拨款收入  5895.84万元，占总收入的 100 %。</w:t>
      </w:r>
    </w:p>
    <w:p>
      <w:pPr>
        <w:spacing w:line="560" w:lineRule="exact"/>
        <w:rPr>
          <w:rFonts w:ascii="黑体" w:eastAsia="黑体" w:cs="仿宋_GB2312" w:hAnsiTheme="minorEastAsia"/>
          <w:sz w:val="32"/>
          <w:szCs w:val="32"/>
        </w:rPr>
      </w:pPr>
      <w:r>
        <w:rPr>
          <w:rFonts w:hint="eastAsia" w:ascii="黑体" w:eastAsia="黑体" w:cs="黑体" w:hAnsiTheme="minorEastAsia"/>
          <w:sz w:val="32"/>
          <w:szCs w:val="32"/>
        </w:rPr>
        <w:t>四、财政拨款支出决算情况</w:t>
      </w:r>
    </w:p>
    <w:p>
      <w:pPr>
        <w:spacing w:line="560" w:lineRule="exact"/>
        <w:ind w:firstLine="560" w:firstLineChars="200"/>
        <w:rPr>
          <w:rFonts w:cs="仿宋_GB2312" w:asciiTheme="minorEastAsia" w:hAnsiTheme="minorEastAsia" w:eastAsiaTheme="minorEastAsia"/>
          <w:sz w:val="28"/>
          <w:szCs w:val="28"/>
        </w:rPr>
      </w:pPr>
      <w:r>
        <w:rPr>
          <w:rFonts w:hint="eastAsia" w:cs="黑体" w:asciiTheme="minorEastAsia" w:hAnsiTheme="minorEastAsia" w:eastAsiaTheme="minorEastAsia"/>
          <w:sz w:val="28"/>
          <w:szCs w:val="28"/>
        </w:rPr>
        <w:t>本年总支出5937.86万元，其中：基本支出1820.38万元，占总支出的30.66%，（其中：工资福利支出 761.17万元，占基本支出的 41.81%，商品和服务支出347.7万元，占总支出的5.86 %，对个人和家庭补助支出 209.53万元，其他资本性支出  0万元）；项目支出 4117.49万元，其中：行政事业类项目支出 4117.49万元。</w:t>
      </w:r>
    </w:p>
    <w:p>
      <w:pPr>
        <w:spacing w:line="560" w:lineRule="exact"/>
        <w:rPr>
          <w:rFonts w:ascii="黑体" w:eastAsia="黑体" w:cs="黑体" w:hAnsiTheme="minorEastAsia"/>
          <w:sz w:val="32"/>
          <w:szCs w:val="32"/>
        </w:rPr>
      </w:pPr>
      <w:r>
        <w:rPr>
          <w:rFonts w:hint="eastAsia" w:ascii="黑体" w:eastAsia="黑体" w:cs="黑体" w:hAnsiTheme="minorEastAsia"/>
          <w:sz w:val="32"/>
          <w:szCs w:val="32"/>
        </w:rPr>
        <w:t>五、“三公”经费支出情况</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2020年“三公”经费支出合计</w:t>
      </w:r>
      <w:r>
        <w:rPr>
          <w:rFonts w:hint="eastAsia" w:cs="仿宋_GB2312" w:asciiTheme="minorEastAsia" w:hAnsiTheme="minorEastAsia" w:eastAsiaTheme="minorEastAsia"/>
          <w:sz w:val="28"/>
          <w:szCs w:val="28"/>
        </w:rPr>
        <w:t>2.63</w:t>
      </w:r>
      <w:r>
        <w:rPr>
          <w:rFonts w:hint="eastAsia" w:asciiTheme="minorEastAsia" w:hAnsiTheme="minorEastAsia" w:eastAsiaTheme="minorEastAsia"/>
          <w:sz w:val="28"/>
          <w:szCs w:val="28"/>
        </w:rPr>
        <w:t>万元，比2019年</w:t>
      </w:r>
      <w:r>
        <w:rPr>
          <w:rFonts w:hint="eastAsia" w:cs="仿宋_GB2312" w:asciiTheme="minorEastAsia" w:hAnsiTheme="minorEastAsia" w:eastAsiaTheme="minorEastAsia"/>
          <w:sz w:val="28"/>
          <w:szCs w:val="28"/>
        </w:rPr>
        <w:t>0.5</w:t>
      </w:r>
      <w:r>
        <w:rPr>
          <w:rFonts w:hint="eastAsia" w:asciiTheme="minorEastAsia" w:hAnsiTheme="minorEastAsia" w:eastAsiaTheme="minorEastAsia"/>
          <w:sz w:val="28"/>
          <w:szCs w:val="28"/>
        </w:rPr>
        <w:t>万元持平。</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1.因公出国（境）费用</w:t>
      </w:r>
      <w:r>
        <w:rPr>
          <w:rFonts w:hint="eastAsia" w:cs="仿宋_GB2312" w:asciiTheme="minorEastAsia" w:hAnsiTheme="minorEastAsia" w:eastAsiaTheme="minorEastAsia"/>
          <w:sz w:val="28"/>
          <w:szCs w:val="28"/>
        </w:rPr>
        <w:t>0</w:t>
      </w:r>
      <w:r>
        <w:rPr>
          <w:rFonts w:hint="eastAsia" w:asciiTheme="minorEastAsia" w:hAnsiTheme="minorEastAsia" w:eastAsiaTheme="minorEastAsia"/>
          <w:sz w:val="28"/>
          <w:szCs w:val="28"/>
        </w:rPr>
        <w:t>万元。本年度单位无出国（境）情况。</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2公务用车购置和运行费</w:t>
      </w:r>
      <w:r>
        <w:rPr>
          <w:rFonts w:hint="eastAsia" w:cs="仿宋_GB2312" w:asciiTheme="minorEastAsia" w:hAnsiTheme="minorEastAsia" w:eastAsiaTheme="minorEastAsia"/>
          <w:sz w:val="28"/>
          <w:szCs w:val="28"/>
        </w:rPr>
        <w:t>0</w:t>
      </w:r>
      <w:r>
        <w:rPr>
          <w:rFonts w:hint="eastAsia" w:asciiTheme="minorEastAsia" w:hAnsiTheme="minorEastAsia" w:eastAsiaTheme="minorEastAsia"/>
          <w:sz w:val="28"/>
          <w:szCs w:val="28"/>
        </w:rPr>
        <w:t>万元。公务用车保有量</w:t>
      </w:r>
      <w:r>
        <w:rPr>
          <w:rFonts w:hint="eastAsia" w:cs="仿宋_GB2312" w:asciiTheme="minorEastAsia" w:hAnsiTheme="minorEastAsia" w:eastAsiaTheme="minorEastAsia"/>
          <w:sz w:val="28"/>
          <w:szCs w:val="28"/>
        </w:rPr>
        <w:t>2</w:t>
      </w:r>
      <w:r>
        <w:rPr>
          <w:rFonts w:hint="eastAsia" w:asciiTheme="minorEastAsia" w:hAnsiTheme="minorEastAsia" w:eastAsiaTheme="minorEastAsia"/>
          <w:sz w:val="28"/>
          <w:szCs w:val="28"/>
        </w:rPr>
        <w:t>辆。2020年无公务用车购置费,公务用车运行维护费</w:t>
      </w:r>
      <w:r>
        <w:rPr>
          <w:rFonts w:hint="eastAsia" w:cs="仿宋_GB2312" w:asciiTheme="minorEastAsia" w:hAnsiTheme="minorEastAsia" w:eastAsiaTheme="minorEastAsia"/>
          <w:sz w:val="28"/>
          <w:szCs w:val="28"/>
        </w:rPr>
        <w:t>1.42</w:t>
      </w:r>
      <w:r>
        <w:rPr>
          <w:rFonts w:hint="eastAsia" w:asciiTheme="minorEastAsia" w:hAnsiTheme="minorEastAsia" w:eastAsiaTheme="minorEastAsia"/>
          <w:sz w:val="28"/>
          <w:szCs w:val="28"/>
        </w:rPr>
        <w:t>万元，主要用于油费及维修等项的支出。</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3.公务接待费</w:t>
      </w:r>
      <w:r>
        <w:rPr>
          <w:rFonts w:hint="eastAsia" w:cs="仿宋_GB2312" w:asciiTheme="minorEastAsia" w:hAnsiTheme="minorEastAsia" w:eastAsiaTheme="minorEastAsia"/>
          <w:sz w:val="28"/>
          <w:szCs w:val="28"/>
        </w:rPr>
        <w:t>1.21</w:t>
      </w:r>
      <w:r>
        <w:rPr>
          <w:rFonts w:hint="eastAsia" w:asciiTheme="minorEastAsia" w:hAnsiTheme="minorEastAsia" w:eastAsiaTheme="minorEastAsia"/>
          <w:sz w:val="28"/>
          <w:szCs w:val="28"/>
        </w:rPr>
        <w:t>万元。主要用于按规定开支的种类公务接待支出。比2019年减少了</w:t>
      </w:r>
      <w:r>
        <w:rPr>
          <w:rFonts w:hint="eastAsia" w:cs="仿宋_GB2312" w:asciiTheme="minorEastAsia" w:hAnsiTheme="minorEastAsia" w:eastAsiaTheme="minorEastAsia"/>
          <w:sz w:val="28"/>
          <w:szCs w:val="28"/>
        </w:rPr>
        <w:t>0.03</w:t>
      </w:r>
      <w:r>
        <w:rPr>
          <w:rFonts w:hint="eastAsia" w:asciiTheme="minorEastAsia" w:hAnsiTheme="minorEastAsia" w:eastAsiaTheme="minorEastAsia"/>
          <w:sz w:val="28"/>
          <w:szCs w:val="28"/>
        </w:rPr>
        <w:t>万元，减幅</w:t>
      </w:r>
      <w:r>
        <w:rPr>
          <w:rFonts w:hint="eastAsia" w:cs="仿宋_GB2312" w:asciiTheme="minorEastAsia" w:hAnsiTheme="minorEastAsia" w:eastAsiaTheme="minorEastAsia"/>
          <w:sz w:val="28"/>
          <w:szCs w:val="28"/>
        </w:rPr>
        <w:t>2.41</w:t>
      </w:r>
      <w:r>
        <w:rPr>
          <w:rFonts w:hint="eastAsia" w:asciiTheme="minorEastAsia" w:hAnsiTheme="minorEastAsia" w:eastAsiaTheme="minorEastAsia"/>
          <w:sz w:val="28"/>
          <w:szCs w:val="28"/>
        </w:rPr>
        <w:t>%。接待</w:t>
      </w:r>
      <w:r>
        <w:rPr>
          <w:rFonts w:hint="eastAsia" w:asciiTheme="minorEastAsia" w:hAnsiTheme="minorEastAsia" w:eastAsiaTheme="minorEastAsia"/>
          <w:sz w:val="28"/>
          <w:szCs w:val="28"/>
          <w:lang w:val="en-US" w:eastAsia="zh-CN"/>
        </w:rPr>
        <w:t>38</w:t>
      </w:r>
      <w:r>
        <w:rPr>
          <w:rFonts w:hint="eastAsia" w:asciiTheme="minorEastAsia" w:hAnsiTheme="minorEastAsia" w:eastAsiaTheme="minorEastAsia"/>
          <w:sz w:val="28"/>
          <w:szCs w:val="28"/>
        </w:rPr>
        <w:t>批次，</w:t>
      </w:r>
      <w:r>
        <w:rPr>
          <w:rFonts w:hint="eastAsia" w:asciiTheme="minorEastAsia" w:hAnsiTheme="minorEastAsia" w:eastAsiaTheme="minorEastAsia"/>
          <w:sz w:val="28"/>
          <w:szCs w:val="28"/>
          <w:lang w:val="en-US" w:eastAsia="zh-CN"/>
        </w:rPr>
        <w:t>352</w:t>
      </w:r>
      <w:bookmarkStart w:id="0" w:name="_GoBack"/>
      <w:bookmarkEnd w:id="0"/>
      <w:r>
        <w:rPr>
          <w:rFonts w:hint="eastAsia" w:asciiTheme="minorEastAsia" w:hAnsiTheme="minorEastAsia" w:eastAsiaTheme="minorEastAsia"/>
          <w:sz w:val="28"/>
          <w:szCs w:val="28"/>
        </w:rPr>
        <w:t>人次。主要原因是机构改革，并入单位，项目增多增加费用。</w:t>
      </w:r>
    </w:p>
    <w:p>
      <w:pPr>
        <w:spacing w:line="560" w:lineRule="exact"/>
        <w:rPr>
          <w:rFonts w:ascii="黑体" w:eastAsia="黑体" w:cs="黑体" w:hAnsiTheme="minorEastAsia"/>
          <w:sz w:val="32"/>
          <w:szCs w:val="32"/>
        </w:rPr>
      </w:pPr>
      <w:r>
        <w:rPr>
          <w:rFonts w:hint="eastAsia" w:ascii="黑体" w:eastAsia="黑体" w:cs="黑体" w:hAnsiTheme="minorEastAsia"/>
          <w:sz w:val="32"/>
          <w:szCs w:val="32"/>
        </w:rPr>
        <w:t>六、机关运行经费支出情况</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2020年度我局机关运行经费支出总额</w:t>
      </w:r>
      <w:r>
        <w:rPr>
          <w:rFonts w:hint="eastAsia" w:cs="仿宋_GB2312" w:asciiTheme="minorEastAsia" w:hAnsiTheme="minorEastAsia" w:eastAsiaTheme="minorEastAsia"/>
          <w:sz w:val="28"/>
          <w:szCs w:val="28"/>
        </w:rPr>
        <w:t>845.67</w:t>
      </w:r>
      <w:r>
        <w:rPr>
          <w:rFonts w:hint="eastAsia" w:asciiTheme="minorEastAsia" w:hAnsiTheme="minorEastAsia" w:eastAsiaTheme="minorEastAsia"/>
          <w:sz w:val="28"/>
          <w:szCs w:val="28"/>
        </w:rPr>
        <w:t>万元，与2019年相比较增加了。主要原因一是机关运行经费统计口径有所变化，二是公车改革后，人员增加，经费预算增加，费用增加。</w:t>
      </w:r>
    </w:p>
    <w:p>
      <w:pPr>
        <w:widowControl/>
        <w:shd w:val="clear" w:color="auto" w:fill="FFFFFF"/>
        <w:spacing w:line="56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spacing w:line="560" w:lineRule="exact"/>
        <w:ind w:firstLine="648"/>
        <w:rPr>
          <w:rFonts w:cs="黑体" w:asciiTheme="minorEastAsia" w:hAnsiTheme="minorEastAsia" w:eastAsiaTheme="minorEastAsia"/>
          <w:sz w:val="28"/>
          <w:szCs w:val="28"/>
        </w:rPr>
      </w:pPr>
      <w:r>
        <w:rPr>
          <w:rFonts w:hint="eastAsia" w:cs="黑体" w:asciiTheme="minorEastAsia" w:hAnsiTheme="minorEastAsia" w:eastAsiaTheme="minorEastAsia"/>
          <w:sz w:val="28"/>
          <w:szCs w:val="28"/>
        </w:rPr>
        <w:t>截止2020年12月31日，本部门共有车辆2辆，其中，领导干部用车0辆、一般公务用车0辆、一般执法执勤用车1辆、特种专业技术用车0辆、其他用车0辆，其他用车1辆。主要是森林防护等；单位价值50万元以上通用设备0 台（套），单价100万元以上专用设备 0台（套）。</w:t>
      </w:r>
    </w:p>
    <w:p>
      <w:pPr>
        <w:spacing w:line="560" w:lineRule="exact"/>
        <w:ind w:firstLine="648"/>
        <w:rPr>
          <w:rFonts w:cs="黑体" w:asciiTheme="minorEastAsia" w:hAnsiTheme="minorEastAsia" w:eastAsiaTheme="minorEastAsia"/>
          <w:sz w:val="28"/>
          <w:szCs w:val="28"/>
        </w:rPr>
      </w:pPr>
      <w:r>
        <w:rPr>
          <w:rFonts w:hint="eastAsia" w:cs="黑体" w:asciiTheme="minorEastAsia" w:hAnsiTheme="minorEastAsia" w:eastAsiaTheme="minorEastAsia"/>
          <w:sz w:val="28"/>
          <w:szCs w:val="28"/>
        </w:rPr>
        <w:t>本部门2020年度政府采购支出总额1921.71万元，其中：政府采购货物支出536.04万元、政府采购工程支出550.94万元、政府采购服务支出834.94万元。授予中小企业合同金额0万元，占政府采购支出总额的0%。</w:t>
      </w:r>
    </w:p>
    <w:p>
      <w:pPr>
        <w:spacing w:line="560" w:lineRule="exact"/>
      </w:pPr>
      <w:r>
        <w:rPr>
          <w:rFonts w:hint="eastAsia" w:ascii="黑体" w:hAnsi="黑体" w:eastAsia="黑体" w:cs="黑体"/>
          <w:sz w:val="32"/>
          <w:szCs w:val="32"/>
        </w:rPr>
        <w:t>八、部门预算绩效评价情况</w:t>
      </w:r>
    </w:p>
    <w:p>
      <w:pPr>
        <w:pStyle w:val="4"/>
        <w:spacing w:before="0" w:beforeAutospacing="0" w:after="0" w:afterAutospacing="0" w:line="560" w:lineRule="exact"/>
        <w:ind w:firstLine="603"/>
        <w:textAlignment w:val="baseline"/>
        <w:rPr>
          <w:rFonts w:hint="eastAsia" w:cs="Arial" w:asciiTheme="minorEastAsia" w:hAnsiTheme="minorEastAsia" w:eastAsiaTheme="minorEastAsia"/>
          <w:color w:val="333333"/>
          <w:sz w:val="28"/>
          <w:szCs w:val="28"/>
        </w:rPr>
      </w:pPr>
      <w:r>
        <w:rPr>
          <w:rFonts w:hint="eastAsia" w:asciiTheme="minorEastAsia" w:hAnsiTheme="minorEastAsia" w:eastAsiaTheme="minorEastAsia"/>
          <w:sz w:val="28"/>
          <w:szCs w:val="28"/>
        </w:rPr>
        <w:t>根据财政预算管理要求，我部门组织对2020年度一般公共服务预算支出5937.86万元，其中：基本支出1820.38万元，项目支出4117.49万元。全部开展绩效评价，资金</w:t>
      </w:r>
      <w:r>
        <w:rPr>
          <w:rFonts w:cs="Arial" w:asciiTheme="minorEastAsia" w:hAnsiTheme="minorEastAsia" w:eastAsiaTheme="minorEastAsia"/>
          <w:color w:val="333333"/>
          <w:sz w:val="28"/>
          <w:szCs w:val="28"/>
        </w:rPr>
        <w:t>严格按照相应的业务管理制度，规范各项经费的开支。资金使用规范，符合国家财经法规和财务管理以及有关专项资金管理办法的规定；资金的拨付有完整的审批程序和手续；不存在截留、挤占、挪用、虚列支出等情况。保障会计核算准确、财务资料完整。我单位较好地完成了20</w:t>
      </w:r>
      <w:r>
        <w:rPr>
          <w:rFonts w:hint="eastAsia" w:cs="Arial" w:asciiTheme="minorEastAsia" w:hAnsiTheme="minorEastAsia" w:eastAsiaTheme="minorEastAsia"/>
          <w:color w:val="333333"/>
          <w:sz w:val="28"/>
          <w:szCs w:val="28"/>
        </w:rPr>
        <w:t>20</w:t>
      </w:r>
      <w:r>
        <w:rPr>
          <w:rFonts w:cs="Arial" w:asciiTheme="minorEastAsia" w:hAnsiTheme="minorEastAsia" w:eastAsiaTheme="minorEastAsia"/>
          <w:color w:val="333333"/>
          <w:sz w:val="28"/>
          <w:szCs w:val="28"/>
        </w:rPr>
        <w:t>年初设定的工作任务，各项项目得到有序开展。到年底完成全部项目的100%，资金拨付达到100%，完成项目验收率达到100%。</w:t>
      </w:r>
    </w:p>
    <w:p>
      <w:pPr>
        <w:pStyle w:val="4"/>
        <w:spacing w:before="0" w:beforeAutospacing="0" w:after="0" w:afterAutospacing="0" w:line="560" w:lineRule="exact"/>
        <w:textAlignment w:val="baseline"/>
        <w:rPr>
          <w:rFonts w:hint="eastAsia" w:ascii="黑体" w:hAnsi="黑体" w:eastAsia="黑体" w:cs="黑体"/>
          <w:sz w:val="32"/>
          <w:szCs w:val="32"/>
        </w:rPr>
      </w:pPr>
      <w:r>
        <w:rPr>
          <w:rFonts w:hint="eastAsia" w:ascii="黑体" w:hAnsi="黑体" w:eastAsia="黑体" w:cs="黑体"/>
          <w:sz w:val="32"/>
          <w:szCs w:val="32"/>
        </w:rPr>
        <w:t>九、政府性基金支出情况</w:t>
      </w:r>
    </w:p>
    <w:p>
      <w:pPr>
        <w:pStyle w:val="4"/>
        <w:spacing w:before="0" w:beforeAutospacing="0" w:after="0" w:afterAutospacing="0" w:line="560" w:lineRule="exact"/>
        <w:ind w:firstLine="560" w:firstLineChars="200"/>
        <w:textAlignment w:val="baseline"/>
        <w:rPr>
          <w:rFonts w:cs="Arial" w:asciiTheme="minorEastAsia" w:hAnsiTheme="minorEastAsia" w:eastAsiaTheme="minorEastAsia"/>
          <w:color w:val="333333"/>
          <w:sz w:val="30"/>
          <w:szCs w:val="30"/>
        </w:rPr>
      </w:pPr>
      <w:r>
        <w:rPr>
          <w:rFonts w:hint="eastAsia" w:asciiTheme="minorEastAsia" w:hAnsiTheme="minorEastAsia" w:eastAsiaTheme="minorEastAsia"/>
          <w:sz w:val="28"/>
          <w:szCs w:val="28"/>
        </w:rPr>
        <w:t>本年度单位政府性基金支出112.23万元，其中：国有土地使用权出让收入安排的支出土地开发资金19.37万元，其他国有土地使用权出让收入安排的支出92.86万元。</w:t>
      </w:r>
    </w:p>
    <w:p>
      <w:pPr>
        <w:spacing w:line="560" w:lineRule="exact"/>
        <w:rPr>
          <w:rFonts w:ascii="黑体" w:hAnsi="黑体" w:eastAsia="黑体" w:cs="黑体"/>
          <w:sz w:val="32"/>
          <w:szCs w:val="32"/>
        </w:rPr>
      </w:pPr>
      <w:r>
        <w:rPr>
          <w:rFonts w:hint="eastAsia" w:ascii="黑体" w:hAnsi="黑体" w:eastAsia="黑体" w:cs="黑体"/>
          <w:b/>
          <w:bCs/>
          <w:sz w:val="32"/>
          <w:szCs w:val="32"/>
        </w:rPr>
        <w:t>十</w:t>
      </w:r>
      <w:r>
        <w:rPr>
          <w:rFonts w:hint="eastAsia" w:ascii="黑体" w:hAnsi="黑体" w:eastAsia="黑体" w:cs="黑体"/>
          <w:sz w:val="32"/>
          <w:szCs w:val="32"/>
        </w:rPr>
        <w:t>、名词解释</w:t>
      </w:r>
    </w:p>
    <w:p>
      <w:pPr>
        <w:spacing w:line="560" w:lineRule="exact"/>
        <w:ind w:firstLine="620"/>
        <w:rPr>
          <w:rFonts w:asciiTheme="minorEastAsia" w:hAnsiTheme="minorEastAsia" w:eastAsiaTheme="minorEastAsia"/>
          <w:sz w:val="28"/>
          <w:szCs w:val="28"/>
        </w:rPr>
      </w:pPr>
      <w:r>
        <w:rPr>
          <w:rFonts w:hint="eastAsia" w:asciiTheme="minorEastAsia" w:hAnsiTheme="minorEastAsia" w:eastAsiaTheme="minorEastAsia"/>
          <w:sz w:val="28"/>
          <w:szCs w:val="28"/>
        </w:rPr>
        <w:t>（一）财政拨款收入：指本年度从本级财政部门取得的财政拨款，包括一般公共预算财政拨款和政府性基金预算财政拨款。</w:t>
      </w:r>
    </w:p>
    <w:p>
      <w:pPr>
        <w:spacing w:line="560" w:lineRule="exact"/>
        <w:ind w:firstLine="620"/>
        <w:rPr>
          <w:rFonts w:asciiTheme="minorEastAsia" w:hAnsiTheme="minorEastAsia" w:eastAsiaTheme="minorEastAsia"/>
          <w:sz w:val="28"/>
          <w:szCs w:val="28"/>
        </w:rPr>
      </w:pPr>
      <w:r>
        <w:rPr>
          <w:rFonts w:hint="eastAsia" w:asciiTheme="minorEastAsia" w:hAnsiTheme="minorEastAsia" w:eastAsiaTheme="minorEastAsia"/>
          <w:sz w:val="28"/>
          <w:szCs w:val="28"/>
        </w:rPr>
        <w:t>（二）事业收入：指事业单位开展专业业务活动及其辅助活动取得的收入；事业单位收到的财政专户实际核拨的教育收费等资金在此反映。</w:t>
      </w:r>
    </w:p>
    <w:p>
      <w:pPr>
        <w:spacing w:line="560" w:lineRule="exact"/>
        <w:ind w:firstLine="620"/>
        <w:rPr>
          <w:rFonts w:asciiTheme="minorEastAsia" w:hAnsiTheme="minorEastAsia" w:eastAsiaTheme="minorEastAsia"/>
          <w:sz w:val="28"/>
          <w:szCs w:val="28"/>
        </w:rPr>
      </w:pPr>
      <w:r>
        <w:rPr>
          <w:rFonts w:hint="eastAsia" w:asciiTheme="minorEastAsia" w:hAnsiTheme="minorEastAsia" w:eastAsiaTheme="minorEastAsia"/>
          <w:sz w:val="28"/>
          <w:szCs w:val="28"/>
        </w:rPr>
        <w:t>（三）经营收入：指事业单位在专业业务活动及其辅助活动之外开展非独立核算经营活动取得的收入。</w:t>
      </w:r>
    </w:p>
    <w:p>
      <w:pPr>
        <w:spacing w:line="560" w:lineRule="exact"/>
        <w:ind w:firstLine="620"/>
        <w:rPr>
          <w:rFonts w:asciiTheme="minorEastAsia" w:hAnsiTheme="minorEastAsia" w:eastAsiaTheme="minorEastAsia"/>
          <w:sz w:val="28"/>
          <w:szCs w:val="28"/>
        </w:rPr>
      </w:pPr>
      <w:r>
        <w:rPr>
          <w:rFonts w:hint="eastAsia" w:asciiTheme="minorEastAsia" w:hAnsiTheme="minorEastAsia" w:eastAsiaTheme="minorEastAsia"/>
          <w:sz w:val="28"/>
          <w:szCs w:val="28"/>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spacing w:line="560" w:lineRule="exact"/>
        <w:ind w:firstLine="620"/>
        <w:rPr>
          <w:rFonts w:asciiTheme="minorEastAsia" w:hAnsiTheme="minorEastAsia" w:eastAsiaTheme="minorEastAsia"/>
          <w:sz w:val="28"/>
          <w:szCs w:val="28"/>
        </w:rPr>
      </w:pPr>
      <w:r>
        <w:rPr>
          <w:rFonts w:hint="eastAsia" w:asciiTheme="minorEastAsia" w:hAnsiTheme="minorEastAsia" w:eastAsiaTheme="minorEastAsia"/>
          <w:sz w:val="28"/>
          <w:szCs w:val="28"/>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spacing w:line="560" w:lineRule="exact"/>
        <w:ind w:firstLine="620"/>
        <w:rPr>
          <w:rFonts w:asciiTheme="minorEastAsia" w:hAnsiTheme="minorEastAsia" w:eastAsiaTheme="minorEastAsia"/>
          <w:sz w:val="28"/>
          <w:szCs w:val="28"/>
        </w:rPr>
      </w:pPr>
      <w:r>
        <w:rPr>
          <w:rFonts w:hint="eastAsia" w:asciiTheme="minorEastAsia" w:hAnsiTheme="minorEastAsia" w:eastAsiaTheme="minorEastAsia"/>
          <w:sz w:val="28"/>
          <w:szCs w:val="28"/>
        </w:rPr>
        <w:t>（六）年初结转和结余：指单位上年结转本年使用的基本支出结转、项目支出结转和结余、经营结余。不包括事业单位净资产项下的事业基金和专用基金。</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（八）年末结转和结余：指单位结转下年的基本支出结转、项目支出结转和结余、经营结余。不包括事业单位净资产项下的事业基金和专用基金。</w:t>
      </w:r>
    </w:p>
    <w:p>
      <w:pPr>
        <w:spacing w:line="560" w:lineRule="exact"/>
        <w:ind w:firstLine="620"/>
        <w:rPr>
          <w:rFonts w:asciiTheme="minorEastAsia" w:hAnsiTheme="minorEastAsia" w:eastAsiaTheme="minorEastAsia"/>
          <w:sz w:val="28"/>
          <w:szCs w:val="28"/>
        </w:rPr>
      </w:pPr>
      <w:r>
        <w:rPr>
          <w:rFonts w:hint="eastAsia" w:asciiTheme="minorEastAsia" w:hAnsiTheme="minorEastAsia" w:eastAsiaTheme="minorEastAsia"/>
          <w:sz w:val="28"/>
          <w:szCs w:val="28"/>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pacing w:line="560" w:lineRule="exact"/>
        <w:ind w:firstLine="620"/>
        <w:rPr>
          <w:rFonts w:asciiTheme="minorEastAsia" w:hAnsiTheme="minorEastAsia" w:eastAsiaTheme="minorEastAsia"/>
          <w:sz w:val="28"/>
          <w:szCs w:val="28"/>
        </w:rPr>
      </w:pPr>
      <w:r>
        <w:rPr>
          <w:rFonts w:hint="eastAsia" w:asciiTheme="minorEastAsia" w:hAnsiTheme="minorEastAsia" w:eastAsiaTheme="minorEastAsia"/>
          <w:sz w:val="28"/>
          <w:szCs w:val="28"/>
        </w:rPr>
        <w:t>（十）项目支出：指在基本支出之外为完成特定行政任务和事业发展目标所发生的支出。</w:t>
      </w:r>
    </w:p>
    <w:p>
      <w:pPr>
        <w:spacing w:line="560" w:lineRule="exact"/>
        <w:ind w:firstLine="620"/>
        <w:rPr>
          <w:rFonts w:asciiTheme="minorEastAsia" w:hAnsiTheme="minorEastAsia" w:eastAsiaTheme="minorEastAsia"/>
          <w:sz w:val="28"/>
          <w:szCs w:val="28"/>
        </w:rPr>
      </w:pPr>
      <w:r>
        <w:rPr>
          <w:rFonts w:hint="eastAsia" w:asciiTheme="minorEastAsia" w:hAnsiTheme="minorEastAsia" w:eastAsiaTheme="minorEastAsia"/>
          <w:sz w:val="28"/>
          <w:szCs w:val="28"/>
        </w:rPr>
        <w:t>（十一）经营支出：指事业单位在专业业务活动及其辅助活动之外开展非独立核算经营活动发生的支出。</w:t>
      </w:r>
    </w:p>
    <w:p>
      <w:pPr>
        <w:spacing w:line="560" w:lineRule="exact"/>
        <w:ind w:firstLine="420"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60" w:lineRule="exact"/>
        <w:ind w:firstLine="620"/>
        <w:rPr>
          <w:rFonts w:asciiTheme="minorEastAsia" w:hAnsiTheme="minorEastAsia" w:eastAsiaTheme="minorEastAsia"/>
          <w:sz w:val="28"/>
          <w:szCs w:val="28"/>
        </w:rPr>
      </w:pPr>
      <w:r>
        <w:rPr>
          <w:rFonts w:hint="eastAsia" w:asciiTheme="minorEastAsia" w:hAnsiTheme="minorEastAsia" w:eastAsiaTheme="minorEastAsia"/>
          <w:sz w:val="28"/>
          <w:szCs w:val="28"/>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line="560" w:lineRule="exact"/>
        <w:ind w:firstLine="620"/>
        <w:rPr>
          <w:rFonts w:asciiTheme="minorEastAsia" w:hAnsiTheme="minorEastAsia" w:eastAsiaTheme="minorEastAsia"/>
          <w:sz w:val="28"/>
          <w:szCs w:val="28"/>
        </w:rPr>
      </w:pPr>
      <w:r>
        <w:rPr>
          <w:rFonts w:hint="eastAsia" w:asciiTheme="minorEastAsia" w:hAnsiTheme="minorEastAsia" w:eastAsiaTheme="minorEastAsia"/>
          <w:sz w:val="28"/>
          <w:szCs w:val="28"/>
        </w:rPr>
        <w:t>（十四）工资福利支出（支出经济分类科目类级）：反映单位开支的在职职工和编制外长期聘用人员的各类劳动报酬，以及为上述人员缴纳的各项社会保险费等。</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（十五）商品和服务支出（支出经济分类科目类级）：反映单位购买商品和服务的支出（不包括用于购置固定资产的支出、战略性和应急储备支出）。</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（十六）对个人和家庭的补助（支出经济分类科目类级）：反映用于对个人和家庭的补助支出。</w:t>
      </w:r>
    </w:p>
    <w:p>
      <w:pPr>
        <w:spacing w:line="560" w:lineRule="exact"/>
        <w:ind w:firstLine="620"/>
        <w:rPr>
          <w:rFonts w:asciiTheme="minorEastAsia" w:hAnsiTheme="minorEastAsia" w:eastAsiaTheme="minorEastAsia"/>
          <w:sz w:val="28"/>
          <w:szCs w:val="28"/>
        </w:rPr>
      </w:pPr>
      <w:r>
        <w:rPr>
          <w:rFonts w:hint="eastAsia" w:asciiTheme="minorEastAsia" w:hAnsiTheme="minorEastAsia" w:eastAsiaTheme="minorEastAsia"/>
          <w:sz w:val="28"/>
          <w:szCs w:val="28"/>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cs="仿宋_GB2312" w:asciiTheme="minorEastAsia" w:hAnsiTheme="minorEastAsia" w:eastAsiaTheme="minorEastAsia"/>
          <w:sz w:val="28"/>
          <w:szCs w:val="28"/>
        </w:rPr>
      </w:pPr>
    </w:p>
    <w:p>
      <w:pPr>
        <w:spacing w:line="660" w:lineRule="exact"/>
        <w:ind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附表：</w:t>
      </w:r>
      <w:r>
        <w:rPr>
          <w:rFonts w:hint="eastAsia" w:asciiTheme="minorEastAsia" w:hAnsiTheme="minorEastAsia" w:eastAsiaTheme="minorEastAsia"/>
          <w:sz w:val="28"/>
          <w:szCs w:val="28"/>
        </w:rPr>
        <w:t>1.收入支出决算总表</w:t>
      </w:r>
    </w:p>
    <w:p>
      <w:pPr>
        <w:spacing w:line="660" w:lineRule="exact"/>
        <w:ind w:left="420" w:leftChars="200" w:firstLine="1092" w:firstLineChars="390"/>
        <w:rPr>
          <w:rFonts w:asciiTheme="minorEastAsia" w:hAnsiTheme="minorEastAsia" w:eastAsiaTheme="minorEastAsia"/>
          <w:sz w:val="28"/>
          <w:szCs w:val="28"/>
        </w:rPr>
      </w:pPr>
      <w:r>
        <w:rPr>
          <w:rFonts w:hint="eastAsia" w:asciiTheme="minorEastAsia" w:hAnsiTheme="minorEastAsia" w:eastAsiaTheme="minorEastAsia"/>
          <w:sz w:val="28"/>
          <w:szCs w:val="28"/>
        </w:rPr>
        <w:t>2.收入决算表</w:t>
      </w:r>
    </w:p>
    <w:p>
      <w:pPr>
        <w:spacing w:line="660" w:lineRule="exact"/>
        <w:ind w:left="420" w:leftChars="200" w:firstLine="1092" w:firstLineChars="390"/>
        <w:rPr>
          <w:rFonts w:asciiTheme="minorEastAsia" w:hAnsiTheme="minorEastAsia" w:eastAsiaTheme="minorEastAsia"/>
          <w:sz w:val="28"/>
          <w:szCs w:val="28"/>
        </w:rPr>
      </w:pPr>
      <w:r>
        <w:rPr>
          <w:rFonts w:hint="eastAsia" w:asciiTheme="minorEastAsia" w:hAnsiTheme="minorEastAsia" w:eastAsiaTheme="minorEastAsia"/>
          <w:sz w:val="28"/>
          <w:szCs w:val="28"/>
        </w:rPr>
        <w:t>3.支出决算表</w:t>
      </w:r>
    </w:p>
    <w:p>
      <w:pPr>
        <w:spacing w:line="660" w:lineRule="exact"/>
        <w:ind w:left="420" w:leftChars="200" w:firstLine="1092" w:firstLineChars="390"/>
        <w:rPr>
          <w:rFonts w:asciiTheme="minorEastAsia" w:hAnsiTheme="minorEastAsia" w:eastAsiaTheme="minorEastAsia"/>
          <w:sz w:val="28"/>
          <w:szCs w:val="28"/>
        </w:rPr>
      </w:pPr>
      <w:r>
        <w:rPr>
          <w:rFonts w:hint="eastAsia" w:asciiTheme="minorEastAsia" w:hAnsiTheme="minorEastAsia" w:eastAsiaTheme="minorEastAsia"/>
          <w:sz w:val="28"/>
          <w:szCs w:val="28"/>
        </w:rPr>
        <w:t>4.财政拨款收入支出决算总表</w:t>
      </w:r>
    </w:p>
    <w:p>
      <w:pPr>
        <w:spacing w:line="660" w:lineRule="exact"/>
        <w:ind w:left="420" w:leftChars="200" w:firstLine="1092" w:firstLineChars="390"/>
        <w:rPr>
          <w:rFonts w:asciiTheme="minorEastAsia" w:hAnsiTheme="minorEastAsia" w:eastAsiaTheme="minorEastAsia"/>
          <w:sz w:val="28"/>
          <w:szCs w:val="28"/>
        </w:rPr>
      </w:pPr>
      <w:r>
        <w:rPr>
          <w:rFonts w:hint="eastAsia" w:asciiTheme="minorEastAsia" w:hAnsiTheme="minorEastAsia" w:eastAsiaTheme="minorEastAsia"/>
          <w:sz w:val="28"/>
          <w:szCs w:val="28"/>
        </w:rPr>
        <w:t>5.一般公共预算财政拨款支出决算表</w:t>
      </w:r>
    </w:p>
    <w:p>
      <w:pPr>
        <w:spacing w:line="660" w:lineRule="exact"/>
        <w:ind w:left="420" w:leftChars="200" w:firstLine="1092" w:firstLineChars="390"/>
        <w:rPr>
          <w:rFonts w:asciiTheme="minorEastAsia" w:hAnsiTheme="minorEastAsia" w:eastAsiaTheme="minorEastAsia"/>
          <w:sz w:val="28"/>
          <w:szCs w:val="28"/>
        </w:rPr>
      </w:pPr>
      <w:r>
        <w:rPr>
          <w:rFonts w:hint="eastAsia" w:asciiTheme="minorEastAsia" w:hAnsiTheme="minorEastAsia" w:eastAsiaTheme="minorEastAsia"/>
          <w:sz w:val="28"/>
          <w:szCs w:val="28"/>
        </w:rPr>
        <w:t>6.一般公共预算财政拨款基本支出决算表</w:t>
      </w:r>
    </w:p>
    <w:p>
      <w:pPr>
        <w:spacing w:line="660" w:lineRule="exact"/>
        <w:ind w:left="420" w:leftChars="200" w:firstLine="1092" w:firstLineChars="390"/>
        <w:rPr>
          <w:rFonts w:asciiTheme="minorEastAsia" w:hAnsiTheme="minorEastAsia" w:eastAsiaTheme="minorEastAsia"/>
          <w:sz w:val="28"/>
          <w:szCs w:val="28"/>
        </w:rPr>
      </w:pPr>
      <w:r>
        <w:rPr>
          <w:rFonts w:hint="eastAsia" w:asciiTheme="minorEastAsia" w:hAnsiTheme="minorEastAsia" w:eastAsiaTheme="minorEastAsia"/>
          <w:sz w:val="28"/>
          <w:szCs w:val="28"/>
        </w:rPr>
        <w:t>7.一般公共预算财政拨款“三公”经费支出决算表</w:t>
      </w:r>
    </w:p>
    <w:p>
      <w:pPr>
        <w:spacing w:line="660" w:lineRule="exact"/>
        <w:ind w:left="420" w:leftChars="200" w:firstLine="1092" w:firstLineChars="390"/>
        <w:rPr>
          <w:rFonts w:asciiTheme="minorEastAsia" w:hAnsiTheme="minorEastAsia" w:eastAsiaTheme="minorEastAsia"/>
          <w:sz w:val="28"/>
          <w:szCs w:val="28"/>
        </w:rPr>
      </w:pPr>
      <w:r>
        <w:rPr>
          <w:rFonts w:hint="eastAsia" w:asciiTheme="minorEastAsia" w:hAnsiTheme="minorEastAsia" w:eastAsiaTheme="minorEastAsia"/>
          <w:sz w:val="28"/>
          <w:szCs w:val="28"/>
        </w:rPr>
        <w:t>8.政府性基金预算财政拨款收入支出决算表</w:t>
      </w:r>
    </w:p>
    <w:p>
      <w:pPr>
        <w:spacing w:line="660" w:lineRule="exact"/>
        <w:ind w:left="420" w:leftChars="200" w:firstLine="1092" w:firstLineChars="39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9.国有资本经营预算财政拨款支出决算表</w:t>
      </w:r>
    </w:p>
    <w:p>
      <w:pPr>
        <w:spacing w:line="660" w:lineRule="exact"/>
        <w:ind w:left="420" w:leftChars="200" w:firstLine="1092" w:firstLineChars="390"/>
        <w:rPr>
          <w:rFonts w:asciiTheme="minorEastAsia" w:hAnsiTheme="minorEastAsia" w:eastAsiaTheme="minorEastAsia"/>
          <w:sz w:val="28"/>
          <w:szCs w:val="28"/>
        </w:rPr>
      </w:pPr>
      <w:r>
        <w:rPr>
          <w:rFonts w:hint="eastAsia" w:asciiTheme="minorEastAsia" w:hAnsiTheme="minorEastAsia" w:eastAsiaTheme="minorEastAsia"/>
          <w:sz w:val="28"/>
          <w:szCs w:val="28"/>
        </w:rPr>
        <w:t>10.政府采购表</w:t>
      </w:r>
    </w:p>
    <w:sectPr>
      <w:footerReference r:id="rId3" w:type="default"/>
      <w:footerReference r:id="rId4" w:type="even"/>
      <w:pgSz w:w="11906" w:h="16838"/>
      <w:pgMar w:top="1440" w:right="1466" w:bottom="1440" w:left="212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fldChar w:fldCharType="begin"/>
    </w:r>
    <w:r>
      <w:rPr>
        <w:rStyle w:val="7"/>
      </w:rPr>
      <w:instrText xml:space="preserve">PAGE  </w:instrText>
    </w:r>
    <w:r>
      <w:fldChar w:fldCharType="separate"/>
    </w:r>
    <w:r>
      <w:rPr>
        <w:rStyle w:val="7"/>
      </w:rPr>
      <w:t>4</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fldChar w:fldCharType="begin"/>
    </w:r>
    <w:r>
      <w:rPr>
        <w:rStyle w:val="7"/>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BF6D70"/>
    <w:multiLevelType w:val="multilevel"/>
    <w:tmpl w:val="6ABF6D70"/>
    <w:lvl w:ilvl="0" w:tentative="0">
      <w:start w:val="1"/>
      <w:numFmt w:val="japaneseCounting"/>
      <w:lvlText w:val="%1、"/>
      <w:lvlJc w:val="left"/>
      <w:pPr>
        <w:ind w:left="1004"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8D9231D"/>
    <w:rsid w:val="000D5508"/>
    <w:rsid w:val="001269FD"/>
    <w:rsid w:val="0013415F"/>
    <w:rsid w:val="00170F27"/>
    <w:rsid w:val="00190A50"/>
    <w:rsid w:val="001C13D0"/>
    <w:rsid w:val="0026098B"/>
    <w:rsid w:val="002E438B"/>
    <w:rsid w:val="0032324C"/>
    <w:rsid w:val="00340968"/>
    <w:rsid w:val="003B76D1"/>
    <w:rsid w:val="003E1C3E"/>
    <w:rsid w:val="004046EC"/>
    <w:rsid w:val="004A4083"/>
    <w:rsid w:val="004B22BA"/>
    <w:rsid w:val="004C0308"/>
    <w:rsid w:val="00543B30"/>
    <w:rsid w:val="00566972"/>
    <w:rsid w:val="005B76E4"/>
    <w:rsid w:val="00613502"/>
    <w:rsid w:val="006902B7"/>
    <w:rsid w:val="006B0608"/>
    <w:rsid w:val="006B11C7"/>
    <w:rsid w:val="006B6806"/>
    <w:rsid w:val="007057BD"/>
    <w:rsid w:val="0074400A"/>
    <w:rsid w:val="0074609A"/>
    <w:rsid w:val="00754BC2"/>
    <w:rsid w:val="008711EC"/>
    <w:rsid w:val="00872A4D"/>
    <w:rsid w:val="008B57B1"/>
    <w:rsid w:val="00912B43"/>
    <w:rsid w:val="00947985"/>
    <w:rsid w:val="009F7D2C"/>
    <w:rsid w:val="00A32B3E"/>
    <w:rsid w:val="00AC76BA"/>
    <w:rsid w:val="00B032B5"/>
    <w:rsid w:val="00B05021"/>
    <w:rsid w:val="00B87704"/>
    <w:rsid w:val="00BB4885"/>
    <w:rsid w:val="00BC615F"/>
    <w:rsid w:val="00BC680B"/>
    <w:rsid w:val="00D14200"/>
    <w:rsid w:val="00DD0618"/>
    <w:rsid w:val="00E149E1"/>
    <w:rsid w:val="00ED6D47"/>
    <w:rsid w:val="00EE2BFC"/>
    <w:rsid w:val="00F33C60"/>
    <w:rsid w:val="00FD29DB"/>
    <w:rsid w:val="00FF3144"/>
    <w:rsid w:val="28D9231D"/>
    <w:rsid w:val="445504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7">
    <w:name w:val="page number"/>
    <w:basedOn w:val="6"/>
    <w:uiPriority w:val="0"/>
  </w:style>
  <w:style w:type="character" w:customStyle="1" w:styleId="8">
    <w:name w:val="页眉 Char"/>
    <w:basedOn w:val="6"/>
    <w:link w:val="3"/>
    <w:uiPriority w:val="0"/>
    <w:rPr>
      <w:kern w:val="2"/>
      <w:sz w:val="18"/>
      <w:szCs w:val="18"/>
    </w:rPr>
  </w:style>
  <w:style w:type="paragraph" w:styleId="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516</Words>
  <Characters>2942</Characters>
  <Lines>24</Lines>
  <Paragraphs>6</Paragraphs>
  <TotalTime>135</TotalTime>
  <ScaleCrop>false</ScaleCrop>
  <LinksUpToDate>false</LinksUpToDate>
  <CharactersWithSpaces>3452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2020-09-03T00:47:00Z</dcterms:created>
  <dc:creator>快乐一天</dc:creator>
  <cp:lastModifiedBy>cxnfb</cp:lastModifiedBy>
  <cp:lastPrinted>2021-08-04T06:49:00Z</cp:lastPrinted>
  <dcterms:modified xsi:type="dcterms:W3CDTF">2021-08-04T09:29:49Z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92917654082048C8A534054C5E4AD0AD</vt:lpwstr>
  </property>
</Properties>
</file>