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崇信县第三</w:t>
      </w:r>
      <w:r>
        <w:rPr>
          <w:rFonts w:hint="eastAsia" w:ascii="方正小标宋简体" w:hAnsi="方正小标宋简体" w:eastAsia="方正小标宋简体" w:cs="方正小标宋简体"/>
          <w:sz w:val="44"/>
          <w:szCs w:val="44"/>
          <w:lang w:eastAsia="zh-CN"/>
        </w:rPr>
        <w:t>幼儿园</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rPr>
      </w:pPr>
      <w:r>
        <w:rPr>
          <w:rFonts w:hint="eastAsia" w:ascii="宋体" w:hAnsi="宋体"/>
          <w:sz w:val="28"/>
          <w:szCs w:val="28"/>
        </w:rPr>
        <w:t>以为学龄前儿童提供保育和教育服务为宗旨，负责本区域内学龄前儿童的保育和教育工作。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本单位属事业单位，执行政府会计制度，财政预算代码为：047017001。独立核算机构数为1个。</w:t>
      </w:r>
      <w:r>
        <w:rPr>
          <w:rFonts w:hint="eastAsia" w:ascii="仿宋_GB2312" w:hAnsi="仿宋_GB2312" w:eastAsia="仿宋_GB2312" w:cs="仿宋_GB2312"/>
          <w:sz w:val="32"/>
          <w:szCs w:val="32"/>
        </w:rPr>
        <w:t>编制人数为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人，实有人数为</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人，其中：在职</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人，财政拨款开支</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人，经费自理（自收自支）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bookmarkStart w:id="0" w:name="_GoBack"/>
      <w:bookmarkEnd w:id="0"/>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w:t>
      </w:r>
      <w:r>
        <w:rPr>
          <w:rFonts w:hint="eastAsia" w:ascii="宋体" w:hAnsi="宋体" w:eastAsia="宋体" w:cs="Times New Roman"/>
          <w:kern w:val="2"/>
          <w:sz w:val="28"/>
          <w:szCs w:val="28"/>
          <w:lang w:val="en-US" w:eastAsia="zh-CN" w:bidi="ar-SA"/>
        </w:rPr>
        <w:t>年本单位总收入为</w:t>
      </w:r>
      <w:r>
        <w:rPr>
          <w:rFonts w:hint="eastAsia" w:hAnsi="宋体" w:cs="Times New Roman"/>
          <w:kern w:val="2"/>
          <w:sz w:val="28"/>
          <w:szCs w:val="28"/>
          <w:lang w:val="en-US" w:eastAsia="zh-CN" w:bidi="ar-SA"/>
        </w:rPr>
        <w:t>227.63</w:t>
      </w:r>
      <w:r>
        <w:rPr>
          <w:rFonts w:hint="eastAsia" w:ascii="宋体" w:hAnsi="宋体" w:eastAsia="宋体" w:cs="Times New Roman"/>
          <w:kern w:val="2"/>
          <w:sz w:val="28"/>
          <w:szCs w:val="28"/>
          <w:lang w:val="en-US" w:eastAsia="zh-CN" w:bidi="ar-SA"/>
        </w:rPr>
        <w:t>万元，其中：财政拨款收入</w:t>
      </w:r>
      <w:r>
        <w:rPr>
          <w:rFonts w:hint="eastAsia" w:hAnsi="宋体" w:cs="Times New Roman"/>
          <w:kern w:val="2"/>
          <w:sz w:val="28"/>
          <w:szCs w:val="28"/>
          <w:lang w:val="en-US" w:eastAsia="zh-CN" w:bidi="ar-SA"/>
        </w:rPr>
        <w:t>226.64</w:t>
      </w:r>
      <w:r>
        <w:rPr>
          <w:rFonts w:hint="eastAsia" w:ascii="宋体" w:hAnsi="宋体" w:eastAsia="宋体" w:cs="Times New Roman"/>
          <w:kern w:val="2"/>
          <w:sz w:val="28"/>
          <w:szCs w:val="28"/>
          <w:lang w:val="en-US" w:eastAsia="zh-CN" w:bidi="ar-SA"/>
        </w:rPr>
        <w:t>万元，占总收入的</w:t>
      </w:r>
      <w:r>
        <w:rPr>
          <w:rFonts w:hint="eastAsia" w:hAnsi="宋体" w:cs="Times New Roman"/>
          <w:kern w:val="2"/>
          <w:sz w:val="28"/>
          <w:szCs w:val="28"/>
          <w:lang w:val="en-US" w:eastAsia="zh-CN" w:bidi="ar-SA"/>
        </w:rPr>
        <w:t>99.56</w:t>
      </w:r>
      <w:r>
        <w:rPr>
          <w:rFonts w:hint="eastAsia" w:ascii="宋体" w:hAnsi="宋体" w:eastAsia="宋体" w:cs="Times New Roman"/>
          <w:kern w:val="2"/>
          <w:sz w:val="28"/>
          <w:szCs w:val="28"/>
          <w:lang w:val="en-US" w:eastAsia="zh-CN" w:bidi="ar-SA"/>
        </w:rPr>
        <w:t>%。总支出</w:t>
      </w:r>
      <w:r>
        <w:rPr>
          <w:rFonts w:hint="eastAsia" w:hAnsi="宋体" w:cs="Times New Roman"/>
          <w:kern w:val="2"/>
          <w:sz w:val="28"/>
          <w:szCs w:val="28"/>
          <w:lang w:val="en-US" w:eastAsia="zh-CN" w:bidi="ar-SA"/>
        </w:rPr>
        <w:t>227.63</w:t>
      </w:r>
      <w:r>
        <w:rPr>
          <w:rFonts w:hint="eastAsia" w:ascii="宋体" w:hAnsi="宋体" w:eastAsia="宋体" w:cs="Times New Roman"/>
          <w:kern w:val="2"/>
          <w:sz w:val="28"/>
          <w:szCs w:val="28"/>
          <w:lang w:val="en-US" w:eastAsia="zh-CN" w:bidi="ar-SA"/>
        </w:rPr>
        <w:t>万元，其中：基本支出</w:t>
      </w:r>
      <w:r>
        <w:rPr>
          <w:rFonts w:hint="eastAsia" w:hAnsi="宋体" w:cs="Times New Roman"/>
          <w:kern w:val="2"/>
          <w:sz w:val="28"/>
          <w:szCs w:val="28"/>
          <w:lang w:val="en-US" w:eastAsia="zh-CN" w:bidi="ar-SA"/>
        </w:rPr>
        <w:t>227.63</w:t>
      </w:r>
      <w:r>
        <w:rPr>
          <w:rFonts w:hint="eastAsia" w:ascii="宋体" w:hAnsi="宋体" w:eastAsia="宋体" w:cs="Times New Roman"/>
          <w:kern w:val="2"/>
          <w:sz w:val="28"/>
          <w:szCs w:val="28"/>
          <w:lang w:val="en-US" w:eastAsia="zh-CN" w:bidi="ar-SA"/>
        </w:rPr>
        <w:t>万元，占总支出的100%，（其中：工资福利支出</w:t>
      </w:r>
      <w:r>
        <w:rPr>
          <w:rFonts w:hint="eastAsia" w:hAnsi="宋体" w:cs="Times New Roman"/>
          <w:kern w:val="2"/>
          <w:sz w:val="28"/>
          <w:szCs w:val="28"/>
          <w:lang w:val="en-US" w:eastAsia="zh-CN" w:bidi="ar-SA"/>
        </w:rPr>
        <w:t>148.86</w:t>
      </w:r>
      <w:r>
        <w:rPr>
          <w:rFonts w:hint="eastAsia" w:ascii="宋体" w:hAnsi="宋体" w:eastAsia="宋体" w:cs="Times New Roman"/>
          <w:kern w:val="2"/>
          <w:sz w:val="28"/>
          <w:szCs w:val="28"/>
          <w:lang w:val="en-US" w:eastAsia="zh-CN" w:bidi="ar-SA"/>
        </w:rPr>
        <w:t>万元，占基本支出的</w:t>
      </w:r>
      <w:r>
        <w:rPr>
          <w:rFonts w:hint="eastAsia" w:hAnsi="宋体" w:cs="Times New Roman"/>
          <w:kern w:val="2"/>
          <w:sz w:val="28"/>
          <w:szCs w:val="28"/>
          <w:lang w:val="en-US" w:eastAsia="zh-CN" w:bidi="ar-SA"/>
        </w:rPr>
        <w:t>65.6</w:t>
      </w:r>
      <w:r>
        <w:rPr>
          <w:rFonts w:hint="eastAsia" w:ascii="宋体" w:hAnsi="宋体" w:eastAsia="宋体" w:cs="Times New Roman"/>
          <w:kern w:val="2"/>
          <w:sz w:val="28"/>
          <w:szCs w:val="28"/>
          <w:lang w:val="en-US" w:eastAsia="zh-CN" w:bidi="ar-SA"/>
        </w:rPr>
        <w:t>8%，商品和服务支出</w:t>
      </w:r>
      <w:r>
        <w:rPr>
          <w:rFonts w:hint="eastAsia" w:hAnsi="宋体" w:cs="Times New Roman"/>
          <w:kern w:val="2"/>
          <w:sz w:val="28"/>
          <w:szCs w:val="28"/>
          <w:lang w:val="en-US" w:eastAsia="zh-CN" w:bidi="ar-SA"/>
        </w:rPr>
        <w:t>33.33</w:t>
      </w:r>
      <w:r>
        <w:rPr>
          <w:rFonts w:hint="eastAsia" w:ascii="宋体" w:hAnsi="宋体" w:eastAsia="宋体" w:cs="Times New Roman"/>
          <w:kern w:val="2"/>
          <w:sz w:val="28"/>
          <w:szCs w:val="28"/>
          <w:lang w:val="en-US" w:eastAsia="zh-CN" w:bidi="ar-SA"/>
        </w:rPr>
        <w:t>万元，占总支出的</w:t>
      </w:r>
      <w:r>
        <w:rPr>
          <w:rFonts w:hint="eastAsia" w:hAnsi="宋体" w:cs="Times New Roman"/>
          <w:kern w:val="2"/>
          <w:sz w:val="28"/>
          <w:szCs w:val="28"/>
          <w:lang w:val="en-US" w:eastAsia="zh-CN" w:bidi="ar-SA"/>
        </w:rPr>
        <w:t>14.70</w:t>
      </w:r>
      <w:r>
        <w:rPr>
          <w:rFonts w:hint="eastAsia" w:ascii="宋体" w:hAnsi="宋体" w:eastAsia="宋体" w:cs="Times New Roman"/>
          <w:kern w:val="2"/>
          <w:sz w:val="28"/>
          <w:szCs w:val="28"/>
          <w:lang w:val="en-US" w:eastAsia="zh-CN" w:bidi="ar-SA"/>
        </w:rPr>
        <w:t>%，对个人和家庭补助支出</w:t>
      </w:r>
      <w:r>
        <w:rPr>
          <w:rFonts w:hint="eastAsia" w:hAnsi="宋体" w:cs="Times New Roman"/>
          <w:kern w:val="2"/>
          <w:sz w:val="28"/>
          <w:szCs w:val="28"/>
          <w:lang w:val="en-US" w:eastAsia="zh-CN" w:bidi="ar-SA"/>
        </w:rPr>
        <w:t>44.45</w:t>
      </w:r>
      <w:r>
        <w:rPr>
          <w:rFonts w:hint="eastAsia" w:ascii="宋体" w:hAnsi="宋体" w:eastAsia="宋体" w:cs="Times New Roman"/>
          <w:kern w:val="2"/>
          <w:sz w:val="28"/>
          <w:szCs w:val="28"/>
          <w:lang w:val="en-US" w:eastAsia="zh-CN" w:bidi="ar-SA"/>
        </w:rPr>
        <w:t>万元，其他资本性支出0万元）；项目支出0万元，其中：行政事业类项目支出0万元，基本建设类项目支出0万元。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财政拨款收入</w:t>
      </w:r>
      <w:r>
        <w:rPr>
          <w:rFonts w:hint="eastAsia" w:ascii="宋体" w:hAnsi="宋体" w:cs="Times New Roman"/>
          <w:kern w:val="2"/>
          <w:sz w:val="28"/>
          <w:szCs w:val="28"/>
          <w:lang w:val="en-US" w:eastAsia="zh-CN" w:bidi="ar-SA"/>
        </w:rPr>
        <w:t>226.64</w:t>
      </w:r>
      <w:r>
        <w:rPr>
          <w:rFonts w:hint="eastAsia" w:ascii="宋体" w:hAnsi="宋体" w:eastAsia="宋体" w:cs="Times New Roman"/>
          <w:kern w:val="2"/>
          <w:sz w:val="28"/>
          <w:szCs w:val="28"/>
          <w:lang w:val="en-US" w:eastAsia="zh-CN" w:bidi="ar-SA"/>
        </w:rPr>
        <w:t>万元，其中：工资福利支出</w:t>
      </w:r>
      <w:r>
        <w:rPr>
          <w:rFonts w:hint="eastAsia" w:ascii="宋体" w:hAnsi="宋体" w:cs="Times New Roman"/>
          <w:kern w:val="2"/>
          <w:sz w:val="28"/>
          <w:szCs w:val="28"/>
          <w:lang w:val="en-US" w:eastAsia="zh-CN" w:bidi="ar-SA"/>
        </w:rPr>
        <w:t>226.64</w:t>
      </w:r>
      <w:r>
        <w:rPr>
          <w:rFonts w:hint="eastAsia" w:ascii="宋体" w:hAnsi="宋体" w:eastAsia="宋体" w:cs="Times New Roman"/>
          <w:kern w:val="2"/>
          <w:sz w:val="28"/>
          <w:szCs w:val="28"/>
          <w:lang w:val="en-US" w:eastAsia="zh-CN" w:bidi="ar-SA"/>
        </w:rPr>
        <w:t>万元，占基本支出的</w:t>
      </w:r>
      <w:r>
        <w:rPr>
          <w:rFonts w:hint="eastAsia" w:ascii="宋体" w:hAnsi="宋体" w:cs="Times New Roman"/>
          <w:kern w:val="2"/>
          <w:sz w:val="28"/>
          <w:szCs w:val="28"/>
          <w:lang w:val="en-US" w:eastAsia="zh-CN" w:bidi="ar-SA"/>
        </w:rPr>
        <w:t>100</w:t>
      </w:r>
      <w:r>
        <w:rPr>
          <w:rFonts w:hint="eastAsia" w:ascii="宋体" w:hAnsi="宋体" w:eastAsia="宋体" w:cs="Times New Roman"/>
          <w:kern w:val="2"/>
          <w:sz w:val="28"/>
          <w:szCs w:val="28"/>
          <w:lang w:val="en-US" w:eastAsia="zh-CN" w:bidi="ar-SA"/>
        </w:rPr>
        <w:t>%，商品和服务支出</w:t>
      </w:r>
      <w:r>
        <w:rPr>
          <w:rFonts w:hint="eastAsia" w:ascii="宋体" w:hAnsi="宋体" w:cs="Times New Roman"/>
          <w:kern w:val="2"/>
          <w:sz w:val="28"/>
          <w:szCs w:val="28"/>
          <w:lang w:val="en-US" w:eastAsia="zh-CN" w:bidi="ar-SA"/>
        </w:rPr>
        <w:t>33.3</w:t>
      </w:r>
      <w:r>
        <w:rPr>
          <w:rFonts w:hint="eastAsia" w:ascii="宋体" w:hAnsi="宋体" w:eastAsia="宋体" w:cs="Times New Roman"/>
          <w:kern w:val="2"/>
          <w:sz w:val="28"/>
          <w:szCs w:val="28"/>
          <w:lang w:val="en-US" w:eastAsia="zh-CN" w:bidi="ar-SA"/>
        </w:rPr>
        <w:t>3万元，其他资本性支出</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年“三公”经费支出合计0万元，比201</w:t>
      </w:r>
      <w:r>
        <w:rPr>
          <w:rFonts w:hint="eastAsia" w:ascii="宋体" w:hAnsi="宋体" w:cs="Times New Roman"/>
          <w:kern w:val="2"/>
          <w:sz w:val="28"/>
          <w:szCs w:val="28"/>
          <w:lang w:val="en-US" w:eastAsia="zh-CN" w:bidi="ar-SA"/>
        </w:rPr>
        <w:t>9</w:t>
      </w:r>
      <w:r>
        <w:rPr>
          <w:rFonts w:hint="eastAsia" w:ascii="宋体" w:hAnsi="宋体" w:eastAsia="宋体" w:cs="Times New Roman"/>
          <w:kern w:val="2"/>
          <w:sz w:val="28"/>
          <w:szCs w:val="28"/>
          <w:lang w:val="en-US" w:eastAsia="zh-CN" w:bidi="ar-SA"/>
        </w:rPr>
        <w:t>年0万元，减少0万元。具体为：</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1.因公出国（境）费用0万元。本年度单位无出国（境）情况。</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2公务用车购置和运行费0万元。公务用车保有量0辆</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年无公务用车购置费,比201</w:t>
      </w:r>
      <w:r>
        <w:rPr>
          <w:rFonts w:hint="eastAsia" w:ascii="宋体" w:hAnsi="宋体" w:cs="Times New Roman"/>
          <w:kern w:val="2"/>
          <w:sz w:val="28"/>
          <w:szCs w:val="28"/>
          <w:lang w:val="en-US" w:eastAsia="zh-CN" w:bidi="ar-SA"/>
        </w:rPr>
        <w:t>9</w:t>
      </w:r>
      <w:r>
        <w:rPr>
          <w:rFonts w:hint="eastAsia" w:ascii="宋体" w:hAnsi="宋体" w:eastAsia="宋体" w:cs="Times New Roman"/>
          <w:kern w:val="2"/>
          <w:sz w:val="28"/>
          <w:szCs w:val="28"/>
          <w:lang w:val="en-US" w:eastAsia="zh-CN" w:bidi="ar-SA"/>
        </w:rPr>
        <w:t>年相比减少了0辆（其中0辆交公务用车服务平台使用，0辆已由机关事务管理局拍买）。公务用车运行维护费0万元。</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3.公务接待费0万元。主要用于按规定开支的</w:t>
      </w:r>
      <w:r>
        <w:rPr>
          <w:rFonts w:hint="eastAsia" w:ascii="宋体" w:hAnsi="宋体" w:cs="Times New Roman"/>
          <w:kern w:val="2"/>
          <w:sz w:val="28"/>
          <w:szCs w:val="28"/>
          <w:lang w:val="en-US" w:eastAsia="zh-CN" w:bidi="ar-SA"/>
        </w:rPr>
        <w:t>各</w:t>
      </w:r>
      <w:r>
        <w:rPr>
          <w:rFonts w:hint="eastAsia" w:ascii="宋体" w:hAnsi="宋体" w:eastAsia="宋体" w:cs="Times New Roman"/>
          <w:kern w:val="2"/>
          <w:sz w:val="28"/>
          <w:szCs w:val="28"/>
          <w:lang w:val="en-US" w:eastAsia="zh-CN" w:bidi="ar-SA"/>
        </w:rPr>
        <w:t>类公务接待支出。比2018年增加了</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万元，增幅</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%。接待</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批次，</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我</w:t>
      </w:r>
      <w:r>
        <w:rPr>
          <w:rFonts w:hint="eastAsia" w:ascii="宋体" w:hAnsi="宋体"/>
          <w:sz w:val="28"/>
          <w:szCs w:val="28"/>
          <w:lang w:eastAsia="zh-CN"/>
        </w:rPr>
        <w:t>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本部门2020年度政府采购支出总额3.97万元，其中：政府采购货物支出3.97万元、政府采购工程支出0元、政府采购服务支出0万元。授予中小企业合同金额3.97万元，占政府采购支出总额的100%。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ascii="黑体" w:hAnsi="黑体" w:eastAsia="黑体" w:cs="黑体"/>
          <w:sz w:val="32"/>
          <w:szCs w:val="32"/>
        </w:rPr>
      </w:pPr>
      <w:r>
        <w:rPr>
          <w:rFonts w:hint="eastAsia" w:ascii="宋体" w:hAnsi="宋体"/>
          <w:sz w:val="28"/>
          <w:szCs w:val="28"/>
        </w:rPr>
        <w:t>本年度单位无涉及绩效评价项目。</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ascii="宋体" w:hAnsi="宋体" w:cs="宋体"/>
          <w:kern w:val="0"/>
          <w:sz w:val="24"/>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18D5E"/>
    <w:multiLevelType w:val="singleLevel"/>
    <w:tmpl w:val="C1818D5E"/>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43F6782B"/>
    <w:rsid w:val="468758D7"/>
    <w:rsid w:val="4E7E7EEC"/>
    <w:rsid w:val="5CA850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2021-08-04T03:06:00Z</cp:lastPrinted>
  <dcterms:modified xsi:type="dcterms:W3CDTF">2021-08-04T08:50:53Z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