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黄寨镇人民政府</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公开说明</w:t>
      </w:r>
    </w:p>
    <w:p>
      <w:pPr>
        <w:numPr>
          <w:ilvl w:val="0"/>
          <w:numId w:val="1"/>
        </w:numPr>
        <w:spacing w:line="600" w:lineRule="exact"/>
        <w:ind w:firstLine="636"/>
        <w:rPr>
          <w:rFonts w:hint="eastAsia" w:ascii="微软雅黑" w:hAnsi="微软雅黑" w:eastAsia="微软雅黑" w:cs="微软雅黑"/>
          <w:i w:val="0"/>
          <w:caps w:val="0"/>
          <w:color w:val="232323"/>
          <w:spacing w:val="0"/>
          <w:kern w:val="0"/>
          <w:sz w:val="28"/>
          <w:szCs w:val="28"/>
          <w:shd w:val="clear" w:fill="FFFFFF"/>
          <w:lang w:val="en-US" w:eastAsia="zh-CN" w:bidi="ar"/>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2、制定并落实本行政区域的经济计划和措施，促进产业结构调整及其他经济保持平衡协调发展，全面提高人民群众的生活水平和生活质量.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3、承担国有资产、集体资产管理、监督及保值增值责任；保护公民私人所有合法财产，保障集体经济组织应有的自主权；监督企业和各种经济联合体、个体户认真执行国家的法律、法令和政策，履行经济合同.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4、开展社会主义民主和法制的宣传教育，保障公民的权利；制定社会治安综合治理和平安创建工作规划并组织实施；加强社区管理工作，依法管理外来流动人口，处理人民来信来访，调解民间纠纷，打击违法犯罪，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5、制定社会各项事业发展计划，发展教育、卫生、科技、民政、广播电视、文化、体育事业；组织实施义务教育和其它各类教育；加强计划生育工作；推进社会保障、社会福利和养老保险工作；做好安全、劳动、保障、科普、老龄及宗教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6、保障宪法和法律赋予妇女的男女平等、同工同酬和婚姻自由等各项权利.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7、加强镇级财政的监督和管理，按计划组织、管理镇财政收入和支出，执行国家有关财经纪律和政策，保证国家财政收入的完成；做好统计工作。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8、指导、支持、帮助村（居）民委员会的组织制度建设和业务建设，促进村（居）民委员会民主自治。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9、制定和组织实施乡村建设规划；加强公用、市政设施、水利建设和管理以及房屋土地管理和环境综合整治工作，保护和改善生活环境和生态环境.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i w:val="0"/>
          <w:caps w:val="0"/>
          <w:color w:val="232323"/>
          <w:spacing w:val="0"/>
          <w:kern w:val="0"/>
          <w:sz w:val="32"/>
          <w:szCs w:val="32"/>
          <w:shd w:val="clear" w:fill="FFFFFF"/>
          <w:lang w:val="en-US" w:eastAsia="zh-CN" w:bidi="ar"/>
        </w:rPr>
        <w:t>10、协助和支持设置在本行政区域内不隶属于镇的国家机关和企事业单位的工作，监督其遵守和执行国家的法律、法规和政策.</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本单位属行政单位，执行新政府会计制度，财政预算代码为：064。独立核算机构数为1个，编制人数为40人，实有人数为55人，其中：财政拨款开支55人，财政补助开支0人，退休9人。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2020年，黄寨镇人民政府决算总收入 1670.08万元，均为一般公共预算财政拨款。</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shd w:val="clear" w:fill="FFFFFF"/>
          <w:lang w:val="en-US" w:eastAsia="zh-CN" w:bidi="ar"/>
        </w:rPr>
      </w:pPr>
      <w:r>
        <w:rPr>
          <w:rFonts w:hint="eastAsia" w:ascii="仿宋" w:hAnsi="仿宋" w:eastAsia="仿宋" w:cs="仿宋"/>
          <w:i w:val="0"/>
          <w:caps w:val="0"/>
          <w:color w:val="232323"/>
          <w:spacing w:val="0"/>
          <w:kern w:val="0"/>
          <w:sz w:val="32"/>
          <w:szCs w:val="32"/>
          <w:shd w:val="clear" w:fill="FFFFFF"/>
          <w:lang w:val="en-US" w:eastAsia="zh-CN" w:bidi="ar"/>
        </w:rPr>
        <w:t>2020年，黄寨镇人民政府决算总支出1728.27万元。其中：一般公共服务支出</w:t>
      </w:r>
      <w:r>
        <w:rPr>
          <w:rFonts w:hint="eastAsia" w:ascii="仿宋" w:hAnsi="仿宋" w:eastAsia="仿宋" w:cs="仿宋"/>
          <w:i w:val="0"/>
          <w:caps w:val="0"/>
          <w:color w:val="232323"/>
          <w:spacing w:val="0"/>
          <w:kern w:val="0"/>
          <w:sz w:val="32"/>
          <w:szCs w:val="32"/>
          <w:highlight w:val="none"/>
          <w:shd w:val="clear" w:fill="FFFFFF"/>
          <w:lang w:val="en-US" w:eastAsia="zh-CN" w:bidi="ar"/>
        </w:rPr>
        <w:t>489.89万元，公共安全支出3.90万元，文化旅游体育与传媒支出6万元，社会保障和就业支出52.20万元，卫生健康支出11.10万元，节能环保支出57.14万元，城乡社区支出433.75万元，农林水支出630.29万元，粮油物资储备支出40万元，灾害防治及应急管理支出4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黑体" w:hAnsi="黑体" w:eastAsia="黑体" w:cs="黑体"/>
          <w:sz w:val="32"/>
          <w:szCs w:val="32"/>
        </w:rPr>
        <w:t xml:space="preserve"> </w:t>
      </w: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2020年，黄寨镇政府财政拨款支出主要用于保障本单位工作正常运转、完成日常工作任务以及县委、县政府交办的相关工作。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基本支出，是用于保障镇政府机关正常运转的日常支出，包括基本工资、津贴补贴等人员经费以及办公费、印刷费、水电费、办公设备购置等日常公用经费。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项目支出，是用于保障审计机关为完成县委、县政府交办的工作任务和事业发展目标，用于该专项业务工作的经费支出。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本年本单位总支出</w:t>
      </w:r>
      <w:r>
        <w:rPr>
          <w:rFonts w:hint="eastAsia" w:ascii="仿宋" w:hAnsi="仿宋" w:eastAsia="仿宋" w:cs="仿宋"/>
          <w:i w:val="0"/>
          <w:caps w:val="0"/>
          <w:color w:val="232323"/>
          <w:spacing w:val="0"/>
          <w:kern w:val="0"/>
          <w:sz w:val="32"/>
          <w:szCs w:val="32"/>
          <w:shd w:val="clear" w:fill="FFFFFF"/>
          <w:lang w:val="en-US" w:eastAsia="zh-CN" w:bidi="ar"/>
        </w:rPr>
        <w:t>1728.27</w:t>
      </w:r>
      <w:r>
        <w:rPr>
          <w:rFonts w:hint="eastAsia" w:ascii="仿宋" w:hAnsi="仿宋" w:eastAsia="仿宋" w:cs="仿宋"/>
          <w:i w:val="0"/>
          <w:caps w:val="0"/>
          <w:color w:val="232323"/>
          <w:spacing w:val="0"/>
          <w:kern w:val="0"/>
          <w:sz w:val="32"/>
          <w:szCs w:val="32"/>
          <w:highlight w:val="none"/>
          <w:shd w:val="clear" w:fill="FFFFFF"/>
          <w:lang w:val="en-US" w:eastAsia="zh-CN" w:bidi="ar"/>
        </w:rPr>
        <w:t>万元，其中：基本支出661.13万元，占总支出的38.54%，（其中：工资福利支出391.32万元，占基本支出的59.18%，商品和服务支出 125.13万元，占基本支出的18.93 %，对个人和家庭补助支出144.69万元，占基本支出的21.89%）；项目类支出1062.14万元，其中：行政事业类项目支出1062.14万元。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2020年“三公”经费支出合计0.6万元，比2019年0.5万元，增加0.1万元。具体为：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1.因公出国（境）费用0万元。本年度单位无出国（境）情况。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2.公务用车购置和运行费0.3万元。公务用车保有量1辆。2020年无公务用车购置费,比2019年相比无变化，公务用车运行维护费0.3万元，主要用于公务用车维修、燃油费等项的支出。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3.公务接待费0.3万元。主要用于按规定开支的种类公务接待支出。与2019年相比增加0.1万元，接待15批次，100人次。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六、机关运行经费支出情况</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2020年度我镇机关运行经费支出总额125.13万元，与2019年相比较，增加了46.97万元，增幅幅60.09%，增加的主要原因增加的主要原因一是机关运行经费统计口径有所变化，二是维修费、取暖费的增加。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七、国有资产占用及政府采购支出情况</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截止2020年12月31日，本部门共有车辆1辆，其中其他用车1辆；单位价值50万元以上通用设备0台（套），单价100万元以上专用设备0台（套）。</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本部门2019年度政府采购支出总额52.38万元，其中：政府采购货物支出50.81万元，占政府采购支出总额的97.00%，政府采购服务支出1.57万元，占政府采购支出总额的3%。</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根据财政预算管理要求，我单位组织对2020年度一般公共预算项目支出开展绩效评价。涉及绩效目标管理的项目1个，共涉及资金100万元。</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发现的主要问题及原因：一是项目资金预算较少;二是未将项目管理费用支出纳入财政预算。下一步改进措施：一是在财政预算之前谋划项目;二是加强与上级主管部门衔接，积极争取项目资金。</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_GB2312" w:hAnsi="仿宋_GB2312" w:eastAsia="仿宋_GB2312" w:cs="仿宋_GB2312"/>
          <w:sz w:val="32"/>
          <w:szCs w:val="32"/>
        </w:rPr>
        <w:t xml:space="preserve">    </w:t>
      </w: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本年度单位无政府性基金支出。</w:t>
      </w:r>
      <w:bookmarkStart w:id="0" w:name="_GoBack"/>
      <w:bookmarkEnd w:id="0"/>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（一）财政拨款收入：指本年度从本级财政部门取得的财政拨款，包括一般公共预算财政拨款和政府性基金预算财政拨款。</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（二）事业收入：</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指事业单位开展专业业务活动及其辅助活动取得的收入；事业单位收到的财政专户实际核拨的教育收费等资金在此反映。</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（三）经营收入：</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指事业单位在专业业务活动及其辅助活动之外开展非独立核算经营活动取得的收入。</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（四）其他收入：</w:t>
      </w:r>
      <w:r>
        <w:rPr>
          <w:rFonts w:hint="eastAsia" w:ascii="仿宋" w:hAnsi="仿宋" w:eastAsia="仿宋" w:cs="仿宋"/>
          <w:i w:val="0"/>
          <w:caps w:val="0"/>
          <w:color w:val="232323"/>
          <w:spacing w:val="0"/>
          <w:kern w:val="0"/>
          <w:sz w:val="32"/>
          <w:szCs w:val="32"/>
          <w:highlight w:val="none"/>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（五）用事业基金弥补收支差额：</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（六）年初结转和结余：</w:t>
      </w:r>
      <w:r>
        <w:rPr>
          <w:rFonts w:hint="eastAsia" w:ascii="仿宋" w:hAnsi="仿宋" w:eastAsia="仿宋" w:cs="仿宋"/>
          <w:i w:val="0"/>
          <w:caps w:val="0"/>
          <w:color w:val="232323"/>
          <w:spacing w:val="0"/>
          <w:kern w:val="0"/>
          <w:sz w:val="32"/>
          <w:szCs w:val="32"/>
          <w:highlight w:val="none"/>
          <w:shd w:val="clear" w:fill="FFFFFF"/>
          <w:lang w:val="en-US" w:eastAsia="zh-CN" w:bidi="ar"/>
        </w:rPr>
        <w:t>指单位上年结转本年使用的基本支出结转、项目支出结转和结余、经营结余。不包括事业单位净资产项下的事业基金和专用基金。</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（七）结余分配：</w:t>
      </w:r>
      <w:r>
        <w:rPr>
          <w:rFonts w:hint="eastAsia" w:ascii="仿宋" w:hAnsi="仿宋" w:eastAsia="仿宋" w:cs="仿宋"/>
          <w:i w:val="0"/>
          <w:caps w:val="0"/>
          <w:color w:val="232323"/>
          <w:spacing w:val="0"/>
          <w:kern w:val="0"/>
          <w:sz w:val="32"/>
          <w:szCs w:val="32"/>
          <w:highlight w:val="none"/>
          <w:shd w:val="clear" w:fill="FFFFFF"/>
          <w:lang w:val="en-US" w:eastAsia="zh-CN" w:bidi="ar"/>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（八）年末结转和结余：</w:t>
      </w:r>
      <w:r>
        <w:rPr>
          <w:rFonts w:hint="eastAsia" w:ascii="仿宋" w:hAnsi="仿宋" w:eastAsia="仿宋" w:cs="仿宋"/>
          <w:i w:val="0"/>
          <w:caps w:val="0"/>
          <w:color w:val="232323"/>
          <w:spacing w:val="0"/>
          <w:kern w:val="0"/>
          <w:sz w:val="32"/>
          <w:szCs w:val="32"/>
          <w:highlight w:val="none"/>
          <w:shd w:val="clear" w:fill="FFFFFF"/>
          <w:lang w:val="en-US" w:eastAsia="zh-CN" w:bidi="ar"/>
        </w:rPr>
        <w:t>指单位结转下年的基本支出结转、项目支出结转和结余、经营结余。不包括事业单位净资产项下的事业基金和专用基金。</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（九）基本支出：</w:t>
      </w:r>
      <w:r>
        <w:rPr>
          <w:rFonts w:hint="eastAsia" w:ascii="仿宋" w:hAnsi="仿宋" w:eastAsia="仿宋" w:cs="仿宋"/>
          <w:i w:val="0"/>
          <w:caps w:val="0"/>
          <w:color w:val="232323"/>
          <w:spacing w:val="0"/>
          <w:kern w:val="0"/>
          <w:sz w:val="32"/>
          <w:szCs w:val="32"/>
          <w:highlight w:val="none"/>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（十）项目支出：</w:t>
      </w:r>
      <w:r>
        <w:rPr>
          <w:rFonts w:hint="eastAsia" w:ascii="仿宋" w:hAnsi="仿宋" w:eastAsia="仿宋" w:cs="仿宋"/>
          <w:i w:val="0"/>
          <w:caps w:val="0"/>
          <w:color w:val="232323"/>
          <w:spacing w:val="0"/>
          <w:kern w:val="0"/>
          <w:sz w:val="32"/>
          <w:szCs w:val="32"/>
          <w:highlight w:val="none"/>
          <w:shd w:val="clear" w:fill="FFFFFF"/>
          <w:lang w:val="en-US" w:eastAsia="zh-CN" w:bidi="ar"/>
        </w:rPr>
        <w:t>指在基本支出之外为完成特定行政任务和事业发展目标所发生的支出。</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（十一）经营支出：</w:t>
      </w:r>
      <w:r>
        <w:rPr>
          <w:rFonts w:hint="eastAsia" w:ascii="仿宋" w:hAnsi="仿宋" w:eastAsia="仿宋" w:cs="仿宋"/>
          <w:i w:val="0"/>
          <w:caps w:val="0"/>
          <w:color w:val="232323"/>
          <w:spacing w:val="0"/>
          <w:kern w:val="0"/>
          <w:sz w:val="32"/>
          <w:szCs w:val="32"/>
          <w:highlight w:val="none"/>
          <w:shd w:val="clear" w:fill="FFFFFF"/>
          <w:lang w:val="en-US" w:eastAsia="zh-CN" w:bidi="ar"/>
        </w:rPr>
        <w:t>指事业单位在专业业务活动及其辅助活动之外开展非独立核算经营活动发生的支出。</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（十二）“三公”经费：</w:t>
      </w:r>
      <w:r>
        <w:rPr>
          <w:rFonts w:hint="eastAsia" w:ascii="仿宋" w:hAnsi="仿宋" w:eastAsia="仿宋" w:cs="仿宋"/>
          <w:i w:val="0"/>
          <w:caps w:val="0"/>
          <w:color w:val="232323"/>
          <w:spacing w:val="0"/>
          <w:kern w:val="0"/>
          <w:sz w:val="32"/>
          <w:szCs w:val="32"/>
          <w:highlight w:val="none"/>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w:t>
      </w:r>
      <w:r>
        <w:rPr>
          <w:rFonts w:hint="eastAsia" w:ascii="仿宋" w:hAnsi="仿宋" w:eastAsia="仿宋" w:cs="仿宋"/>
          <w:b/>
          <w:bCs/>
          <w:i w:val="0"/>
          <w:caps w:val="0"/>
          <w:color w:val="232323"/>
          <w:spacing w:val="0"/>
          <w:kern w:val="0"/>
          <w:sz w:val="32"/>
          <w:szCs w:val="32"/>
          <w:highlight w:val="none"/>
          <w:shd w:val="clear" w:fill="FFFFFF"/>
          <w:lang w:val="en-US" w:eastAsia="zh-CN" w:bidi="ar"/>
        </w:rPr>
        <w:t>十三）机关运行经费：</w:t>
      </w:r>
      <w:r>
        <w:rPr>
          <w:rFonts w:hint="eastAsia" w:ascii="仿宋" w:hAnsi="仿宋" w:eastAsia="仿宋" w:cs="仿宋"/>
          <w:i w:val="0"/>
          <w:caps w:val="0"/>
          <w:color w:val="232323"/>
          <w:spacing w:val="0"/>
          <w:kern w:val="0"/>
          <w:sz w:val="32"/>
          <w:szCs w:val="32"/>
          <w:highlight w:val="none"/>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（十四）工资福利支出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（支出经济分类科目类级）：反映单位开支的在职职工和编制外长期聘用人员的各类劳动报酬，以及为上述人员缴纳的各项社会保险费等。</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（十五）商品和服务支出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（支出经济分类科目类级）：反映单位购买商品和服务的支出（不包括用于购置固定资产的支出、战略性和应急储备支出）。</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（十六）对个人和家庭的补助（</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支出经济分类科目类级）：反映用于对个人和家庭的补助支出。</w:t>
      </w:r>
    </w:p>
    <w:p>
      <w:pPr>
        <w:ind w:firstLine="643"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b/>
          <w:bCs/>
          <w:i w:val="0"/>
          <w:caps w:val="0"/>
          <w:color w:val="232323"/>
          <w:spacing w:val="0"/>
          <w:kern w:val="0"/>
          <w:sz w:val="32"/>
          <w:szCs w:val="32"/>
          <w:highlight w:val="none"/>
          <w:shd w:val="clear" w:fill="FFFFFF"/>
          <w:lang w:val="en-US" w:eastAsia="zh-CN" w:bidi="ar"/>
        </w:rPr>
        <w:t>（十七）其他资本性支出</w:t>
      </w:r>
      <w:r>
        <w:rPr>
          <w:rFonts w:hint="eastAsia" w:ascii="仿宋" w:hAnsi="仿宋" w:eastAsia="仿宋" w:cs="仿宋"/>
          <w:i w:val="0"/>
          <w:caps w:val="0"/>
          <w:color w:val="232323"/>
          <w:spacing w:val="0"/>
          <w:kern w:val="0"/>
          <w:sz w:val="32"/>
          <w:szCs w:val="32"/>
          <w:highlight w:val="none"/>
          <w:shd w:val="clear" w:fill="FFFFFF"/>
          <w:lang w:val="en-US" w:eastAsia="zh-CN" w:bidi="ar"/>
        </w:rPr>
        <w:t>（支出经济分类科目类级）：反映非各级发展与改革部门集中安排的用于购置固定资产、战略性和应急性储备、土地和无形资产，以及构建基础设施、大型修缮和财政支持企业更新改造所发生的支出。</w:t>
      </w: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附表：1.收入支出决算总表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2.收入决算表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3.支出决算表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4.财政拨款收入支出决算总表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5.一般公共预算财政拨款支出决算表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6.一般公共预算财政拨款基本支出决算表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7.一般公共预算财政拨款“三公”经费支出决算表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8.政府性基金预算财政拨款收入支出决算表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9.国有资本经营预算财政拨款收入支出决算表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10.政府采购表</w:t>
      </w:r>
    </w:p>
    <w:p>
      <w:pPr>
        <w:ind w:firstLine="1600" w:firstLineChars="500"/>
        <w:rPr>
          <w:rFonts w:hint="eastAsia" w:ascii="仿宋" w:hAnsi="仿宋" w:eastAsia="仿宋" w:cs="仿宋"/>
          <w:i w:val="0"/>
          <w:caps w:val="0"/>
          <w:color w:val="232323"/>
          <w:spacing w:val="0"/>
          <w:kern w:val="0"/>
          <w:sz w:val="32"/>
          <w:szCs w:val="32"/>
          <w:highlight w:val="none"/>
          <w:shd w:val="clear" w:fill="FFFFFF"/>
          <w:lang w:val="en-US" w:eastAsia="zh-CN" w:bidi="ar"/>
        </w:rPr>
      </w:pPr>
    </w:p>
    <w:p>
      <w:pPr>
        <w:jc w:val="both"/>
        <w:rPr>
          <w:rFonts w:hint="eastAsia" w:ascii="仿宋" w:hAnsi="仿宋" w:eastAsia="仿宋" w:cs="仿宋"/>
          <w:i w:val="0"/>
          <w:caps w:val="0"/>
          <w:color w:val="232323"/>
          <w:spacing w:val="0"/>
          <w:kern w:val="0"/>
          <w:sz w:val="32"/>
          <w:szCs w:val="32"/>
          <w:highlight w:val="none"/>
          <w:shd w:val="clear" w:fill="FFFFFF"/>
          <w:lang w:val="en-US" w:eastAsia="zh-CN" w:bidi="ar"/>
        </w:rPr>
      </w:pPr>
    </w:p>
    <w:p>
      <w:pPr>
        <w:ind w:firstLine="1600" w:firstLineChars="500"/>
        <w:jc w:val="center"/>
        <w:rPr>
          <w:rFonts w:hint="eastAsia"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黄寨镇人民政府</w:t>
      </w:r>
    </w:p>
    <w:p>
      <w:pPr>
        <w:ind w:firstLine="1600" w:firstLineChars="500"/>
        <w:jc w:val="center"/>
        <w:rPr>
          <w:rFonts w:hint="default" w:ascii="仿宋" w:hAnsi="仿宋" w:eastAsia="仿宋" w:cs="仿宋"/>
          <w:i w:val="0"/>
          <w:caps w:val="0"/>
          <w:color w:val="232323"/>
          <w:spacing w:val="0"/>
          <w:kern w:val="0"/>
          <w:sz w:val="32"/>
          <w:szCs w:val="32"/>
          <w:highlight w:val="none"/>
          <w:shd w:val="clear" w:fill="FFFFFF"/>
          <w:lang w:val="en-US" w:eastAsia="zh-CN" w:bidi="ar"/>
        </w:rPr>
      </w:pPr>
      <w:r>
        <w:rPr>
          <w:rFonts w:hint="eastAsia" w:ascii="仿宋" w:hAnsi="仿宋" w:eastAsia="仿宋" w:cs="仿宋"/>
          <w:i w:val="0"/>
          <w:caps w:val="0"/>
          <w:color w:val="232323"/>
          <w:spacing w:val="0"/>
          <w:kern w:val="0"/>
          <w:sz w:val="32"/>
          <w:szCs w:val="32"/>
          <w:highlight w:val="none"/>
          <w:shd w:val="clear" w:fill="FFFFFF"/>
          <w:lang w:val="en-US" w:eastAsia="zh-CN" w:bidi="ar"/>
        </w:rPr>
        <w:t xml:space="preserve">     2021年8月4日</w:t>
      </w:r>
    </w:p>
    <w:p>
      <w:pPr>
        <w:ind w:firstLine="640" w:firstLineChars="200"/>
        <w:jc w:val="right"/>
        <w:rPr>
          <w:rFonts w:hint="eastAsia" w:ascii="仿宋" w:hAnsi="仿宋" w:eastAsia="仿宋" w:cs="仿宋"/>
          <w:i w:val="0"/>
          <w:caps w:val="0"/>
          <w:color w:val="232323"/>
          <w:spacing w:val="0"/>
          <w:kern w:val="0"/>
          <w:sz w:val="32"/>
          <w:szCs w:val="32"/>
          <w:highlight w:val="none"/>
          <w:shd w:val="clear" w:fill="FFFFFF"/>
          <w:lang w:val="en-US" w:eastAsia="zh-CN" w:bidi="ar"/>
        </w:rPr>
      </w:pPr>
    </w:p>
    <w:p>
      <w:pPr>
        <w:ind w:firstLine="640" w:firstLineChars="200"/>
        <w:rPr>
          <w:rFonts w:hint="eastAsia" w:ascii="仿宋" w:hAnsi="仿宋" w:eastAsia="仿宋" w:cs="仿宋"/>
          <w:i w:val="0"/>
          <w:caps w:val="0"/>
          <w:color w:val="232323"/>
          <w:spacing w:val="0"/>
          <w:kern w:val="0"/>
          <w:sz w:val="32"/>
          <w:szCs w:val="32"/>
          <w:highlight w:val="none"/>
          <w:shd w:val="clear" w:fill="FFFFFF"/>
          <w:lang w:val="en-US" w:eastAsia="zh-CN" w:bidi="ar"/>
        </w:rPr>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B0775"/>
    <w:multiLevelType w:val="singleLevel"/>
    <w:tmpl w:val="B05B0775"/>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7A1018B"/>
    <w:rsid w:val="13356199"/>
    <w:rsid w:val="28D9231D"/>
    <w:rsid w:val="4E7E7EEC"/>
    <w:rsid w:val="56927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