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崇信县信访局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numId w:val="0"/>
        </w:numPr>
        <w:spacing w:line="600" w:lineRule="exac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信访局是县委、县政府处理群众来信、接待群众来访的职能部门，是县委、县政府联系群众的桥梁和纽带，体察民情社意的窗口，担负着为县委、县政府办信接访和宏观管理全市信访工作的职能作用。 信访局在行政工作中，认真贯彻执行党的路线、方针、政策和国家的法律、法规，坚持依法行政，解放思想，实事求是，改革创新，讲求实效，清正廉洁，全心全意为人民服务。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color w:val="auto"/>
          <w:sz w:val="32"/>
          <w:szCs w:val="32"/>
        </w:rPr>
        <w:t>办公室</w:t>
      </w:r>
      <w:r>
        <w:rPr>
          <w:rFonts w:hint="eastAsia" w:hAnsi="仿宋_GB2312" w:cs="仿宋_GB2312"/>
          <w:color w:val="auto"/>
          <w:sz w:val="32"/>
          <w:szCs w:val="32"/>
          <w:lang w:val="en-US" w:eastAsia="zh-CN"/>
        </w:rPr>
        <w:t>，下设崇信县信访工作联席会议服务中心</w:t>
      </w:r>
      <w:r>
        <w:rPr>
          <w:rFonts w:hint="eastAsia" w:ascii="仿宋_GB2312" w:hAnsi="仿宋_GB2312" w:eastAsia="仿宋_GB2312" w:cs="仿宋_GB2312"/>
          <w:color w:val="auto"/>
          <w:sz w:val="32"/>
          <w:szCs w:val="32"/>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本单位本年收入决算总额为172.82万元，其中：当年财政拨款收入172.82万元，上年结转收入 0 万元。收入决算总额与上年相比减少12.99万元，减少6.9%。本单位本年支出决算总额为172.82万元，其中：一般公共服务支出154.79万元，支出决算总额与上年相比减少2.55万元，减少1.62%。</w:t>
      </w:r>
    </w:p>
    <w:p>
      <w:pPr>
        <w:numPr>
          <w:ilvl w:val="0"/>
          <w:numId w:val="0"/>
        </w:numPr>
        <w:spacing w:line="60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收入总额及支出总额与上年相比减少12.99万元，减少主要是因：信访维稳保障费用支出减少。</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ind w:firstLine="640" w:firstLineChars="200"/>
        <w:rPr>
          <w:rStyle w:val="9"/>
          <w:rFonts w:hint="eastAsia" w:ascii="仿宋_GB2312" w:hAnsi="ˎ̥" w:eastAsia="仿宋_GB2312"/>
          <w:sz w:val="32"/>
          <w:szCs w:val="32"/>
          <w:lang w:eastAsia="zh-CN"/>
        </w:rPr>
      </w:pPr>
      <w:r>
        <w:rPr>
          <w:rStyle w:val="9"/>
          <w:rFonts w:hint="eastAsia" w:ascii="仿宋_GB2312" w:hAnsi="ˎ̥" w:eastAsia="仿宋_GB2312"/>
          <w:sz w:val="32"/>
          <w:szCs w:val="32"/>
        </w:rPr>
        <w:t>一般公共服务决算支出</w:t>
      </w:r>
      <w:r>
        <w:rPr>
          <w:rStyle w:val="9"/>
          <w:rFonts w:hint="eastAsia" w:ascii="仿宋_GB2312" w:hAnsi="ˎ̥" w:eastAsia="仿宋_GB2312"/>
          <w:sz w:val="32"/>
          <w:szCs w:val="32"/>
          <w:lang w:val="en-US" w:eastAsia="zh-CN"/>
        </w:rPr>
        <w:t>172.82</w:t>
      </w:r>
      <w:r>
        <w:rPr>
          <w:rStyle w:val="9"/>
          <w:rFonts w:hint="eastAsia" w:ascii="仿宋_GB2312" w:hAnsi="ˎ̥" w:eastAsia="仿宋_GB2312"/>
          <w:sz w:val="32"/>
          <w:szCs w:val="32"/>
        </w:rPr>
        <w:t>万元，</w:t>
      </w:r>
      <w:r>
        <w:rPr>
          <w:rStyle w:val="9"/>
          <w:rFonts w:hint="eastAsia" w:ascii="仿宋_GB2312" w:hAnsi="ˎ̥" w:eastAsia="仿宋_GB2312"/>
          <w:sz w:val="32"/>
          <w:szCs w:val="32"/>
          <w:lang w:val="en-US" w:eastAsia="zh-CN"/>
        </w:rPr>
        <w:t>与上年</w:t>
      </w:r>
      <w:r>
        <w:rPr>
          <w:rStyle w:val="9"/>
          <w:rFonts w:hint="eastAsia" w:ascii="仿宋_GB2312" w:hAnsi="ˎ̥" w:eastAsia="仿宋_GB2312"/>
          <w:sz w:val="32"/>
          <w:szCs w:val="32"/>
        </w:rPr>
        <w:t>相比</w:t>
      </w:r>
      <w:r>
        <w:rPr>
          <w:rStyle w:val="9"/>
          <w:rFonts w:hint="eastAsia" w:ascii="仿宋_GB2312" w:hAnsi="ˎ̥" w:eastAsia="仿宋_GB2312"/>
          <w:sz w:val="32"/>
          <w:szCs w:val="32"/>
          <w:lang w:val="en-US" w:eastAsia="zh-CN"/>
        </w:rPr>
        <w:t>减少12.99</w:t>
      </w:r>
      <w:r>
        <w:rPr>
          <w:rStyle w:val="9"/>
          <w:rFonts w:hint="eastAsia" w:ascii="仿宋_GB2312" w:hAnsi="ˎ̥" w:eastAsia="仿宋_GB2312"/>
          <w:sz w:val="32"/>
          <w:szCs w:val="32"/>
        </w:rPr>
        <w:t>万元，</w:t>
      </w:r>
      <w:r>
        <w:rPr>
          <w:rStyle w:val="9"/>
          <w:rFonts w:hint="eastAsia" w:ascii="仿宋_GB2312" w:hAnsi="ˎ̥" w:eastAsia="仿宋_GB2312"/>
          <w:sz w:val="32"/>
          <w:szCs w:val="32"/>
          <w:lang w:val="en-US" w:eastAsia="zh-CN"/>
        </w:rPr>
        <w:t>减少6.9</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p>
    <w:p>
      <w:pPr>
        <w:pStyle w:val="3"/>
        <w:ind w:firstLine="640" w:firstLineChars="200"/>
        <w:rPr>
          <w:rStyle w:val="9"/>
          <w:rFonts w:hint="eastAsia" w:ascii="仿宋_GB2312" w:hAnsi="ˎ̥" w:eastAsia="仿宋_GB2312"/>
          <w:sz w:val="32"/>
          <w:szCs w:val="32"/>
        </w:rPr>
      </w:pPr>
      <w:r>
        <w:rPr>
          <w:rFonts w:hint="eastAsia" w:ascii="仿宋_GB2312" w:hAnsi="宋体" w:eastAsia="仿宋_GB2312" w:cs="宋体"/>
          <w:sz w:val="32"/>
          <w:szCs w:val="32"/>
        </w:rPr>
        <w:t>工资福利支出</w:t>
      </w:r>
      <w:r>
        <w:rPr>
          <w:rFonts w:hint="eastAsia" w:ascii="仿宋_GB2312" w:hAnsi="宋体" w:eastAsia="仿宋_GB2312" w:cs="宋体"/>
          <w:sz w:val="32"/>
          <w:szCs w:val="32"/>
          <w:lang w:val="en-US" w:eastAsia="zh-CN"/>
        </w:rPr>
        <w:t>108.98</w:t>
      </w:r>
      <w:r>
        <w:rPr>
          <w:rFonts w:hint="eastAsia" w:ascii="仿宋_GB2312" w:hAnsi="宋体" w:eastAsia="仿宋_GB2312" w:cs="宋体"/>
          <w:sz w:val="32"/>
          <w:szCs w:val="32"/>
        </w:rPr>
        <w:t>万元，占总支出的</w:t>
      </w:r>
      <w:r>
        <w:rPr>
          <w:rFonts w:hint="eastAsia" w:ascii="仿宋_GB2312" w:hAnsi="宋体" w:eastAsia="仿宋_GB2312" w:cs="宋体"/>
          <w:sz w:val="32"/>
          <w:szCs w:val="32"/>
          <w:lang w:val="en-US" w:eastAsia="zh-CN"/>
        </w:rPr>
        <w:t>63.06</w:t>
      </w:r>
      <w:r>
        <w:rPr>
          <w:rFonts w:hint="eastAsia" w:ascii="仿宋_GB2312" w:hAnsi="宋体" w:eastAsia="仿宋_GB2312" w:cs="宋体"/>
          <w:sz w:val="32"/>
          <w:szCs w:val="32"/>
        </w:rPr>
        <w:t>%，商品和服务支出</w:t>
      </w:r>
      <w:r>
        <w:rPr>
          <w:rFonts w:hint="eastAsia" w:ascii="仿宋_GB2312" w:hAnsi="宋体" w:eastAsia="仿宋_GB2312" w:cs="宋体"/>
          <w:sz w:val="32"/>
          <w:szCs w:val="32"/>
          <w:lang w:val="en-US" w:eastAsia="zh-CN"/>
        </w:rPr>
        <w:t>21.83</w:t>
      </w:r>
      <w:r>
        <w:rPr>
          <w:rFonts w:hint="eastAsia" w:ascii="仿宋_GB2312" w:hAnsi="宋体" w:eastAsia="仿宋_GB2312" w:cs="宋体"/>
          <w:sz w:val="32"/>
          <w:szCs w:val="32"/>
        </w:rPr>
        <w:t>万元，占总支出的</w:t>
      </w:r>
      <w:r>
        <w:rPr>
          <w:rFonts w:hint="eastAsia" w:ascii="仿宋_GB2312" w:hAnsi="宋体" w:eastAsia="仿宋_GB2312" w:cs="宋体"/>
          <w:sz w:val="32"/>
          <w:szCs w:val="32"/>
          <w:lang w:val="en-US" w:eastAsia="zh-CN"/>
        </w:rPr>
        <w:t>12.63</w:t>
      </w:r>
      <w:r>
        <w:rPr>
          <w:rFonts w:hint="eastAsia" w:ascii="仿宋_GB2312" w:hAnsi="宋体" w:eastAsia="仿宋_GB2312" w:cs="宋体"/>
          <w:sz w:val="32"/>
          <w:szCs w:val="32"/>
        </w:rPr>
        <w:t>%，对个人和家庭补助支出</w:t>
      </w:r>
      <w:r>
        <w:rPr>
          <w:rFonts w:hint="eastAsia" w:ascii="仿宋_GB2312" w:hAnsi="宋体" w:eastAsia="仿宋_GB2312" w:cs="宋体"/>
          <w:sz w:val="32"/>
          <w:szCs w:val="32"/>
          <w:lang w:val="en-US" w:eastAsia="zh-CN"/>
        </w:rPr>
        <w:t>31.46</w:t>
      </w:r>
      <w:r>
        <w:rPr>
          <w:rFonts w:hint="eastAsia" w:ascii="仿宋_GB2312" w:hAnsi="宋体" w:eastAsia="仿宋_GB2312" w:cs="宋体"/>
          <w:sz w:val="32"/>
          <w:szCs w:val="32"/>
        </w:rPr>
        <w:t>万元，占总支出的</w:t>
      </w:r>
      <w:r>
        <w:rPr>
          <w:rFonts w:hint="eastAsia" w:ascii="仿宋_GB2312" w:hAnsi="宋体" w:eastAsia="仿宋_GB2312" w:cs="宋体"/>
          <w:sz w:val="32"/>
          <w:szCs w:val="32"/>
          <w:lang w:val="en-US" w:eastAsia="zh-CN"/>
        </w:rPr>
        <w:t>18.2</w:t>
      </w:r>
      <w:r>
        <w:rPr>
          <w:rFonts w:hint="eastAsia" w:ascii="仿宋_GB2312" w:hAnsi="宋体" w:eastAsia="仿宋_GB2312" w:cs="宋体"/>
          <w:sz w:val="32"/>
          <w:szCs w:val="32"/>
        </w:rPr>
        <w:t>%</w:t>
      </w:r>
      <w:r>
        <w:rPr>
          <w:rStyle w:val="9"/>
          <w:rFonts w:hint="eastAsia" w:ascii="仿宋_GB2312" w:hAnsi="ˎ̥" w:eastAsia="仿宋_GB2312"/>
          <w:sz w:val="32"/>
          <w:szCs w:val="32"/>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2020年“三公”经费支出合计0万元，比2019年0.04万元，减少0.04万元。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2020年度我局机关运行经费支出总额21.83万元，与2019年相比较，减少了4.78万元，减幅17.96%，减少的主要原因一是机关运行经费统计口径有所变化，二是公车改革后，车辆费用下降明显。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截止2020年12月31日，本部门共有车辆0辆，其中，领导干部用车0辆、一般公务用车0辆、一般执法执勤用车0辆；单位价值50万元以上通用设备0台（套），单价100万元以上专用设备0台（套）。</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本部门2020年度政府采购支出总额0.6万元，其中：政府采购货物支出0.6万元。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根据财政预算管理要求，我部门组织对2019年度一般公共预算项目支出未开展绩效评价。共涉及资金0万元。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本年度单位无政府性基金支出。</w:t>
      </w:r>
    </w:p>
    <w:p>
      <w:pPr>
        <w:spacing w:line="600" w:lineRule="exact"/>
        <w:ind w:firstLine="640"/>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（一）财政拨款收入：指本年度从本级财政部门取得的财政拨款，包括一般公共预算财政拨款和政府性基金预算财政拨款。</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（二）事业收入：指事业单位开展专业业务活动及其辅助活动取得的收入；事业单位收到的财政专户实际核拨的教育收费等资金在此反映。</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（三）经营收入：指事业单位在专业业务活动及其辅助活动之外开展非独立核算经营活动取得的收入。</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（六）年初结转和结余：指单位上年结转本年使用的基本支出结转、项目支出结转和结余、经营结余。不包括事业单位净资产项下的事业基金和专用基金。</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（八）年末结转和结余：指单位结转下年的基本支出结转、项目支出结转和结余、经营结余。不包括事业单位净资产项下的事业基金和专用基金。</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（十）项目支出：指在基本支出之外为完成特定行政任务和事业发展目标所发生的支出。</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（十一）经营支出：指事业单位在专业业务活动及其辅助活动之外开展非独立核算经营活动发生的支出。</w:t>
      </w:r>
    </w:p>
    <w:p>
      <w:pPr>
        <w:spacing w:line="600" w:lineRule="exact"/>
        <w:ind w:firstLine="640"/>
        <w:rPr>
          <w:rFonts w:hint="eastAsia" w:ascii="仿宋_GB2312" w:hAnsi="宋体" w:eastAsia="仿宋_GB2312" w:cs="宋体"/>
          <w:sz w:val="32"/>
          <w:szCs w:val="32"/>
          <w:lang w:val="en-US" w:eastAsia="zh-CN"/>
        </w:rPr>
      </w:pP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（十四）工资福利支出（支出经济分类科目类级）：反映单位开支的在职职工和编制外长期聘用人员的各类劳动报酬，以及为上述人员缴纳的各项社会保险费等。</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（十五）商品和服务支出（支出经济分类科目类级）：反映单位购买商品和服务的支出（不包括用于购置固定资产的支出、战略性和应急储备支出）。</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（十六）对个人和家庭的补助（支出经济分类科目类级）：反映用于对个人和家庭的补助支出。</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rPr>
          <w:rFonts w:hint="eastAsia" w:ascii="仿宋_GB2312" w:hAnsi="宋体" w:eastAsia="仿宋_GB2312" w:cs="宋体"/>
          <w:sz w:val="32"/>
          <w:szCs w:val="32"/>
          <w:lang w:val="en-US" w:eastAsia="zh-CN"/>
        </w:rPr>
      </w:pP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附表：1.收入支出决算总表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2.收入决算表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3.支出决算表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4.财政拨款收入支出决算总</w:t>
      </w:r>
      <w:bookmarkStart w:id="0" w:name="_GoBack"/>
      <w:bookmarkEnd w:id="0"/>
      <w:r>
        <w:rPr>
          <w:rFonts w:hint="eastAsia" w:ascii="仿宋_GB2312" w:hAnsi="宋体" w:eastAsia="仿宋_GB2312" w:cs="宋体"/>
          <w:sz w:val="32"/>
          <w:szCs w:val="32"/>
          <w:lang w:val="en-US" w:eastAsia="zh-CN"/>
        </w:rPr>
        <w:t>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5.一般公共预算财政拨款支出决算表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6.一般公共预算财政拨款基本支出决算表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7.一般公共预算财政拨款“三公”经费支出决算表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8.政府性基金预算财政拨款收入支出决算表</w:t>
      </w:r>
    </w:p>
    <w:p>
      <w:pPr>
        <w:spacing w:line="60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9.国有资本经营预算财政拨款收入支出决算表</w:t>
      </w:r>
    </w:p>
    <w:p>
      <w:pPr>
        <w:spacing w:line="600" w:lineRule="exact"/>
        <w:ind w:firstLine="64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10.政府采购表</w:t>
      </w:r>
    </w:p>
    <w:p>
      <w:pPr>
        <w:spacing w:line="600" w:lineRule="exact"/>
        <w:ind w:firstLine="640"/>
        <w:rPr>
          <w:rFonts w:hint="eastAsia" w:ascii="仿宋_GB2312" w:hAnsi="宋体" w:eastAsia="仿宋_GB2312" w:cs="宋体"/>
          <w:sz w:val="32"/>
          <w:szCs w:val="32"/>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6F7E5E36"/>
    <w:multiLevelType w:val="singleLevel"/>
    <w:tmpl w:val="6F7E5E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8D9231D"/>
    <w:rsid w:val="4E7E7EEC"/>
    <w:rsid w:val="7B764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80" w:firstLineChars="150"/>
    </w:pPr>
    <w:rPr>
      <w:rFonts w:ascii="仿宋_GB2312" w:eastAsia="仿宋_GB2312"/>
      <w:bCs/>
      <w:sz w:val="32"/>
      <w:szCs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qFormat/>
    <w:uiPriority w:val="0"/>
    <w:pPr>
      <w:spacing w:after="0"/>
      <w:ind w:left="0" w:leftChars="0" w:firstLine="420" w:firstLineChars="200"/>
    </w:pPr>
  </w:style>
  <w:style w:type="character" w:styleId="8">
    <w:name w:val="page number"/>
    <w:basedOn w:val="7"/>
    <w:qFormat/>
    <w:uiPriority w:val="0"/>
  </w:style>
  <w:style w:type="character" w:styleId="9">
    <w:name w:val="Emphasis"/>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崇信县信访局单位管理员</cp:lastModifiedBy>
  <dcterms:modified xsi:type="dcterms:W3CDTF">2021-08-03T09:21:25Z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