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崇信县红十字会</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1、宣传、贯彻《中华人民共和国红十字会法》,执行《中国红十字会章程》，组织落实中国红十字会工作的方针、政策;指导全县各级及行业红十字会工作,推动全县红十字会各项工作的开展。</w:t>
      </w:r>
    </w:p>
    <w:p>
      <w:pPr>
        <w:numPr>
          <w:ilvl w:val="0"/>
          <w:numId w:val="0"/>
        </w:numPr>
        <w:spacing w:line="600" w:lineRule="exact"/>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2、开展救灾的准备工作。在自然灾害和突发事件中,开展救护和救助工作;依法接受国内外组织和个人的捐赠,及时向灾区群众和受难者提供人道主义援助。</w:t>
      </w:r>
    </w:p>
    <w:p>
      <w:pPr>
        <w:numPr>
          <w:ilvl w:val="0"/>
          <w:numId w:val="0"/>
        </w:numPr>
        <w:spacing w:line="600" w:lineRule="exact"/>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3、开展卫生救护的宣传和普及工作,组织开展群众性初级卫生救护知识培训。</w:t>
      </w:r>
    </w:p>
    <w:p>
      <w:pPr>
        <w:numPr>
          <w:ilvl w:val="0"/>
          <w:numId w:val="0"/>
        </w:numPr>
        <w:spacing w:line="600" w:lineRule="exact"/>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4、依法参与、推动无偿献血和艾滋病防治的宣传教育工作、关心受护艾滋病病毒感染者、患者及其他救助工作；开展其他人道救助工作。</w:t>
      </w:r>
    </w:p>
    <w:p>
      <w:pPr>
        <w:numPr>
          <w:ilvl w:val="0"/>
          <w:numId w:val="0"/>
        </w:numPr>
        <w:spacing w:line="600" w:lineRule="exact"/>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5、组织会员和自愿工作者开展人道领域内的社区服务和社会公益活动。</w:t>
      </w:r>
    </w:p>
    <w:p>
      <w:pPr>
        <w:numPr>
          <w:ilvl w:val="0"/>
          <w:numId w:val="0"/>
        </w:numPr>
        <w:spacing w:line="600" w:lineRule="exact"/>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6、依法开展社会募捐活动;参与国际人道主义救助工作;开展与国际、国内红十字会的合作与交流工作。</w:t>
      </w:r>
    </w:p>
    <w:p>
      <w:pPr>
        <w:numPr>
          <w:ilvl w:val="0"/>
          <w:numId w:val="0"/>
        </w:numPr>
        <w:spacing w:line="600" w:lineRule="exact"/>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7、开展有益于青少年身心健康、弘扬人道主义精神的红十字青少年活动。</w:t>
      </w:r>
    </w:p>
    <w:p>
      <w:pPr>
        <w:numPr>
          <w:ilvl w:val="0"/>
          <w:numId w:val="0"/>
        </w:numPr>
        <w:spacing w:line="600" w:lineRule="exact"/>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8、宣传日内瓦公约及其附加议定书、红十字与红新月运动基本原则，并依照有关规定开展工作。</w:t>
      </w:r>
    </w:p>
    <w:p>
      <w:pPr>
        <w:numPr>
          <w:ilvl w:val="0"/>
          <w:numId w:val="0"/>
        </w:numPr>
        <w:spacing w:line="600" w:lineRule="exact"/>
        <w:ind w:firstLine="560" w:firstLineChars="200"/>
        <w:rPr>
          <w:rFonts w:hint="default" w:ascii="黑体" w:hAnsi="黑体" w:eastAsia="黑体" w:cs="黑体"/>
          <w:b w:val="0"/>
          <w:bCs w:val="0"/>
          <w:sz w:val="32"/>
          <w:szCs w:val="32"/>
          <w:lang w:val="en-US" w:eastAsia="zh-CN"/>
        </w:rPr>
      </w:pPr>
      <w:r>
        <w:rPr>
          <w:rFonts w:hint="eastAsia" w:asciiTheme="minorEastAsia" w:hAnsiTheme="minorEastAsia" w:eastAsiaTheme="minorEastAsia" w:cstheme="minorEastAsia"/>
          <w:kern w:val="2"/>
          <w:sz w:val="28"/>
          <w:szCs w:val="28"/>
          <w:lang w:val="en-US" w:eastAsia="zh-CN" w:bidi="ar-SA"/>
        </w:rPr>
        <w:t>9、完成县委、县政府委托和上级红会交办的其他工作。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本单位属于财政全额拨款事业单位,执行新政府会计制度。本单位共有编制5人，现实有在职人员6人（其中：县管三支生1人），退休人员1人。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本年本单位总收入为56.60万元，其中：财政拨款收入56.60万元，占总收入的100%。</w:t>
      </w:r>
    </w:p>
    <w:p>
      <w:pPr>
        <w:numPr>
          <w:ilvl w:val="0"/>
          <w:numId w:val="0"/>
        </w:numPr>
        <w:spacing w:line="600" w:lineRule="exact"/>
        <w:rPr>
          <w:rFonts w:hint="eastAsia" w:ascii="黑体" w:hAnsi="黑体" w:eastAsia="黑体" w:cs="黑体"/>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四、财政拨款支出决算情况</w:t>
      </w:r>
    </w:p>
    <w:p>
      <w:pPr>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财政拨款总支出56.60万元，其中：基本支出56.60万元，占总支出的100%，（其中：工资福利支出33.71万元，占基本支出的59.56%，商品和服务支出7.95万元，占总支出的14.05%，对个人和家庭补助支出13.72万元，占总支出的24.24%，办公设备购置费1.22万元，占总支出的2.15%）；项目支出0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w:t>
      </w:r>
      <w:r>
        <w:rPr>
          <w:rFonts w:hint="eastAsia" w:ascii="宋体" w:hAnsi="宋体"/>
          <w:sz w:val="28"/>
          <w:szCs w:val="28"/>
          <w:lang w:eastAsia="zh-CN"/>
        </w:rPr>
        <w:t>与</w:t>
      </w:r>
      <w:r>
        <w:rPr>
          <w:rFonts w:hint="eastAsia" w:ascii="宋体" w:hAnsi="宋体"/>
          <w:sz w:val="28"/>
          <w:szCs w:val="28"/>
        </w:rPr>
        <w:t>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eastAsia="zh-CN"/>
        </w:rPr>
        <w:t>相比无增减</w:t>
      </w:r>
      <w:r>
        <w:rPr>
          <w:rFonts w:hint="eastAsia" w:ascii="宋体" w:hAnsi="宋体"/>
          <w:sz w:val="28"/>
          <w:szCs w:val="28"/>
        </w:rPr>
        <w:t>。具体为：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sz w:val="28"/>
          <w:szCs w:val="28"/>
          <w:lang w:val="en-US" w:eastAsia="zh-CN"/>
        </w:rPr>
        <w:t>0</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lang w:eastAsia="zh-CN"/>
        </w:rPr>
      </w:pPr>
      <w:r>
        <w:rPr>
          <w:rFonts w:hint="eastAsia" w:ascii="宋体" w:hAnsi="宋体"/>
          <w:sz w:val="28"/>
          <w:szCs w:val="28"/>
          <w:lang w:eastAsia="zh-CN"/>
        </w:rPr>
        <w:t>无。</w:t>
      </w:r>
    </w:p>
    <w:p>
      <w:p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本部门2020年度政府采购支出总额0.42万元，其中：政府采购货物支出0.42万元，占政府采购支出总额的100%。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bookmarkStart w:id="0" w:name="_GoBack"/>
      <w:bookmarkEnd w:id="0"/>
    </w:p>
    <w:p>
      <w:pPr>
        <w:ind w:firstLine="560" w:firstLineChars="200"/>
        <w:rPr>
          <w:rFonts w:hint="eastAsia" w:ascii="仿宋_GB2312" w:hAnsi="宋体" w:eastAsia="仿宋_GB2312" w:cs="宋体"/>
          <w:kern w:val="2"/>
          <w:sz w:val="32"/>
          <w:szCs w:val="32"/>
          <w:lang w:val="en-US" w:eastAsia="zh-CN" w:bidi="ar-SA"/>
        </w:rPr>
      </w:pPr>
      <w:r>
        <w:rPr>
          <w:rFonts w:hint="eastAsia" w:asciiTheme="minorEastAsia" w:hAnsiTheme="minorEastAsia" w:eastAsiaTheme="minorEastAsia" w:cstheme="minorEastAsia"/>
          <w:kern w:val="2"/>
          <w:sz w:val="28"/>
          <w:szCs w:val="28"/>
          <w:lang w:val="en-US" w:eastAsia="zh-CN" w:bidi="ar-SA"/>
        </w:rPr>
        <w:t>我单位2020年度无一般公共预算项目支出。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ind w:firstLine="640"/>
        <w:rPr>
          <w:rFonts w:hint="eastAsia" w:ascii="宋体" w:hAnsi="宋体"/>
          <w:sz w:val="28"/>
          <w:szCs w:val="28"/>
        </w:rPr>
      </w:pPr>
      <w:r>
        <w:rPr>
          <w:rFonts w:hint="eastAsia" w:ascii="宋体" w:hAnsi="宋体"/>
          <w:sz w:val="28"/>
          <w:szCs w:val="28"/>
        </w:rPr>
        <w:t>本年度单位无政府性基金支出。</w:t>
      </w:r>
    </w:p>
    <w:p>
      <w:pPr>
        <w:spacing w:line="600" w:lineRule="exact"/>
        <w:ind w:firstLine="640"/>
        <w:rPr>
          <w:rFonts w:ascii="黑体" w:hAnsi="黑体" w:eastAsia="黑体" w:cs="黑体"/>
          <w:sz w:val="32"/>
          <w:szCs w:val="32"/>
        </w:rPr>
      </w:pP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D8A9F"/>
    <w:multiLevelType w:val="singleLevel"/>
    <w:tmpl w:val="8F9D8A9F"/>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24FF709F"/>
    <w:rsid w:val="267E1435"/>
    <w:rsid w:val="28D9231D"/>
    <w:rsid w:val="396D4682"/>
    <w:rsid w:val="4891607F"/>
    <w:rsid w:val="4E7E7EEC"/>
    <w:rsid w:val="533245EF"/>
    <w:rsid w:val="63DF63E5"/>
    <w:rsid w:val="68581924"/>
    <w:rsid w:val="6DC25DCF"/>
    <w:rsid w:val="793906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cp:lastPrinted>2021-08-05T08:33:00Z</cp:lastPrinted>
  <dcterms:modified xsi:type="dcterms:W3CDTF">2021-08-05T09:13:45Z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F0D2655598C24D7B84D2E1BCB2846547</vt:lpwstr>
  </property>
</Properties>
</file>