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崇信县博物馆</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left="-6" w:leftChars="0" w:firstLine="636"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pStyle w:val="2"/>
        <w:ind w:firstLine="560" w:firstLineChars="200"/>
        <w:rPr>
          <w:rFonts w:hint="eastAsia" w:ascii="黑体" w:hAnsi="黑体" w:eastAsia="黑体" w:cs="黑体"/>
          <w:b w:val="0"/>
          <w:bCs w:val="0"/>
          <w:sz w:val="32"/>
          <w:szCs w:val="32"/>
        </w:rPr>
      </w:pPr>
      <w:r>
        <w:rPr>
          <w:rFonts w:hint="eastAsia" w:ascii="宋体" w:hAnsi="宋体" w:eastAsia="宋体" w:cs="Times New Roman"/>
          <w:kern w:val="2"/>
          <w:sz w:val="28"/>
          <w:szCs w:val="28"/>
          <w:lang w:val="en-US" w:eastAsia="zh-CN" w:bidi="ar-SA"/>
        </w:rPr>
        <w:t>崇信县博物馆的主要职责是负责馆内的日常管理、文物的征集、保护、研究陈列、对外开放和开发建设</w:t>
      </w:r>
      <w:r>
        <w:rPr>
          <w:rFonts w:hint="eastAsia" w:ascii="仿宋_GB2312" w:hAnsi="宋体" w:eastAsia="仿宋_GB2312" w:cs="宋体"/>
          <w:sz w:val="32"/>
          <w:szCs w:val="32"/>
          <w:lang w:eastAsia="zh-CN"/>
        </w:rPr>
        <w:t>。</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numPr>
          <w:ilvl w:val="0"/>
          <w:numId w:val="0"/>
        </w:numPr>
        <w:spacing w:line="600" w:lineRule="exact"/>
        <w:ind w:firstLine="560" w:firstLineChars="200"/>
        <w:rPr>
          <w:rFonts w:hint="eastAsia" w:ascii="黑体" w:hAnsi="黑体" w:eastAsia="黑体" w:cs="黑体"/>
          <w:b w:val="0"/>
          <w:bCs w:val="0"/>
          <w:sz w:val="32"/>
          <w:szCs w:val="32"/>
        </w:rPr>
      </w:pPr>
      <w:r>
        <w:rPr>
          <w:rFonts w:hint="eastAsia" w:ascii="宋体" w:hAnsi="宋体" w:eastAsia="宋体" w:cs="Times New Roman"/>
          <w:kern w:val="2"/>
          <w:sz w:val="28"/>
          <w:szCs w:val="28"/>
          <w:lang w:val="en-US" w:eastAsia="zh-CN" w:bidi="ar-SA"/>
        </w:rPr>
        <w:t>本单位属事业单位，执行</w:t>
      </w:r>
      <w:r>
        <w:rPr>
          <w:rFonts w:hint="eastAsia" w:ascii="宋体" w:hAnsi="宋体" w:cs="Times New Roman"/>
          <w:kern w:val="2"/>
          <w:sz w:val="28"/>
          <w:szCs w:val="28"/>
          <w:lang w:val="en-US" w:eastAsia="zh-CN" w:bidi="ar-SA"/>
        </w:rPr>
        <w:t>新政府</w:t>
      </w:r>
      <w:r>
        <w:rPr>
          <w:rFonts w:hint="eastAsia" w:ascii="宋体" w:hAnsi="宋体" w:eastAsia="宋体" w:cs="Times New Roman"/>
          <w:kern w:val="2"/>
          <w:sz w:val="28"/>
          <w:szCs w:val="28"/>
          <w:lang w:val="en-US" w:eastAsia="zh-CN" w:bidi="ar-SA"/>
        </w:rPr>
        <w:t>会计制度，内部设有：值班室、监控室、财务室、业务部、保卫部、信息部、接待部七个部门。</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numPr>
          <w:ilvl w:val="0"/>
          <w:numId w:val="0"/>
        </w:numPr>
        <w:spacing w:line="600" w:lineRule="exact"/>
        <w:ind w:firstLine="640" w:firstLineChars="200"/>
        <w:rPr>
          <w:rFonts w:hint="eastAsia" w:ascii="宋体" w:hAnsi="宋体" w:eastAsia="黑体" w:cs="仿宋_GB2312"/>
          <w:sz w:val="28"/>
          <w:szCs w:val="28"/>
          <w:lang w:val="en-US" w:eastAsia="zh-CN"/>
        </w:rPr>
      </w:pPr>
      <w:r>
        <w:rPr>
          <w:rFonts w:hint="eastAsia" w:ascii="黑体" w:hAnsi="黑体" w:eastAsia="黑体" w:cs="黑体"/>
          <w:b w:val="0"/>
          <w:bCs w:val="0"/>
          <w:sz w:val="32"/>
          <w:szCs w:val="32"/>
          <w:lang w:val="en-US" w:eastAsia="zh-CN"/>
        </w:rPr>
        <w:t xml:space="preserve"> </w:t>
      </w:r>
      <w:r>
        <w:rPr>
          <w:rFonts w:hint="eastAsia" w:ascii="宋体" w:hAnsi="宋体" w:eastAsia="宋体" w:cs="Times New Roman"/>
          <w:kern w:val="2"/>
          <w:sz w:val="28"/>
          <w:szCs w:val="28"/>
          <w:lang w:val="en-US" w:eastAsia="zh-CN" w:bidi="ar-SA"/>
        </w:rPr>
        <w:t>本年总收入为</w:t>
      </w:r>
      <w:r>
        <w:rPr>
          <w:rFonts w:hint="eastAsia" w:ascii="宋体" w:hAnsi="宋体" w:cs="Times New Roman"/>
          <w:kern w:val="2"/>
          <w:sz w:val="28"/>
          <w:szCs w:val="28"/>
          <w:lang w:val="en-US" w:eastAsia="zh-CN" w:bidi="ar-SA"/>
        </w:rPr>
        <w:t>160.59</w:t>
      </w:r>
      <w:r>
        <w:rPr>
          <w:rFonts w:hint="eastAsia" w:ascii="宋体" w:hAnsi="宋体" w:eastAsia="宋体" w:cs="Times New Roman"/>
          <w:kern w:val="2"/>
          <w:sz w:val="28"/>
          <w:szCs w:val="28"/>
          <w:lang w:val="en-US" w:eastAsia="zh-CN" w:bidi="ar-SA"/>
        </w:rPr>
        <w:t>万元，比上年同比</w:t>
      </w:r>
      <w:r>
        <w:rPr>
          <w:rFonts w:hint="eastAsia" w:ascii="宋体" w:hAnsi="宋体" w:cs="Times New Roman"/>
          <w:kern w:val="2"/>
          <w:sz w:val="28"/>
          <w:szCs w:val="28"/>
          <w:lang w:val="en-US" w:eastAsia="zh-CN" w:bidi="ar-SA"/>
        </w:rPr>
        <w:t>增加18.63</w:t>
      </w:r>
      <w:r>
        <w:rPr>
          <w:rFonts w:hint="eastAsia" w:ascii="宋体" w:hAnsi="宋体" w:eastAsia="宋体" w:cs="Times New Roman"/>
          <w:kern w:val="2"/>
          <w:sz w:val="28"/>
          <w:szCs w:val="28"/>
          <w:lang w:val="en-US" w:eastAsia="zh-CN" w:bidi="ar-SA"/>
        </w:rPr>
        <w:t>万元，</w:t>
      </w:r>
      <w:r>
        <w:rPr>
          <w:rFonts w:hint="eastAsia" w:ascii="宋体" w:hAnsi="宋体" w:cs="Times New Roman"/>
          <w:kern w:val="2"/>
          <w:sz w:val="28"/>
          <w:szCs w:val="28"/>
          <w:lang w:val="en-US" w:eastAsia="zh-CN" w:bidi="ar-SA"/>
        </w:rPr>
        <w:t>增加13.12</w:t>
      </w:r>
      <w:r>
        <w:rPr>
          <w:rFonts w:hint="eastAsia" w:ascii="宋体" w:hAnsi="宋体" w:eastAsia="宋体" w:cs="Times New Roman"/>
          <w:kern w:val="2"/>
          <w:sz w:val="28"/>
          <w:szCs w:val="28"/>
          <w:lang w:val="en-US" w:eastAsia="zh-CN" w:bidi="ar-SA"/>
        </w:rPr>
        <w:t>%；总支出为</w:t>
      </w:r>
      <w:r>
        <w:rPr>
          <w:rFonts w:hint="eastAsia" w:ascii="宋体" w:hAnsi="宋体" w:cs="Times New Roman"/>
          <w:kern w:val="2"/>
          <w:sz w:val="28"/>
          <w:szCs w:val="28"/>
          <w:lang w:val="en-US" w:eastAsia="zh-CN" w:bidi="ar-SA"/>
        </w:rPr>
        <w:t>160.59</w:t>
      </w:r>
      <w:r>
        <w:rPr>
          <w:rFonts w:hint="eastAsia" w:ascii="宋体" w:hAnsi="宋体" w:eastAsia="宋体" w:cs="Times New Roman"/>
          <w:kern w:val="2"/>
          <w:sz w:val="28"/>
          <w:szCs w:val="28"/>
          <w:lang w:val="en-US" w:eastAsia="zh-CN" w:bidi="ar-SA"/>
        </w:rPr>
        <w:t>万元，比上年同比</w:t>
      </w:r>
      <w:r>
        <w:rPr>
          <w:rFonts w:hint="eastAsia" w:ascii="宋体" w:hAnsi="宋体" w:cs="Times New Roman"/>
          <w:kern w:val="2"/>
          <w:sz w:val="28"/>
          <w:szCs w:val="28"/>
          <w:lang w:val="en-US" w:eastAsia="zh-CN" w:bidi="ar-SA"/>
        </w:rPr>
        <w:t>增加18.63</w:t>
      </w:r>
      <w:r>
        <w:rPr>
          <w:rFonts w:hint="eastAsia" w:ascii="宋体" w:hAnsi="宋体" w:eastAsia="宋体" w:cs="Times New Roman"/>
          <w:kern w:val="2"/>
          <w:sz w:val="28"/>
          <w:szCs w:val="28"/>
          <w:lang w:val="en-US" w:eastAsia="zh-CN" w:bidi="ar-SA"/>
        </w:rPr>
        <w:t>万元，</w:t>
      </w:r>
      <w:r>
        <w:rPr>
          <w:rFonts w:hint="eastAsia" w:ascii="宋体" w:hAnsi="宋体" w:cs="Times New Roman"/>
          <w:kern w:val="2"/>
          <w:sz w:val="28"/>
          <w:szCs w:val="28"/>
          <w:lang w:val="en-US" w:eastAsia="zh-CN" w:bidi="ar-SA"/>
        </w:rPr>
        <w:t>增加13.12</w:t>
      </w:r>
      <w:r>
        <w:rPr>
          <w:rFonts w:hint="eastAsia" w:ascii="宋体" w:hAnsi="宋体" w:eastAsia="宋体" w:cs="Times New Roman"/>
          <w:kern w:val="2"/>
          <w:sz w:val="28"/>
          <w:szCs w:val="28"/>
          <w:lang w:val="en-US" w:eastAsia="zh-CN" w:bidi="ar-SA"/>
        </w:rPr>
        <w:t>%。</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pStyle w:val="2"/>
        <w:ind w:firstLine="640" w:firstLineChars="200"/>
        <w:rPr>
          <w:rFonts w:hint="default" w:ascii="宋体" w:hAnsi="宋体" w:eastAsia="宋体" w:cs="Times New Roman"/>
          <w:kern w:val="2"/>
          <w:sz w:val="28"/>
          <w:szCs w:val="28"/>
          <w:lang w:val="en-US" w:eastAsia="zh-CN" w:bidi="ar-SA"/>
        </w:rPr>
      </w:pPr>
      <w:r>
        <w:rPr>
          <w:rFonts w:hint="eastAsia" w:ascii="黑体" w:hAnsi="黑体" w:eastAsia="黑体" w:cs="黑体"/>
          <w:sz w:val="32"/>
          <w:szCs w:val="32"/>
        </w:rPr>
        <w:t xml:space="preserve"> </w:t>
      </w:r>
      <w:r>
        <w:rPr>
          <w:rFonts w:hint="eastAsia" w:ascii="宋体" w:hAnsi="宋体" w:eastAsia="宋体" w:cs="Times New Roman"/>
          <w:kern w:val="2"/>
          <w:sz w:val="28"/>
          <w:szCs w:val="28"/>
          <w:lang w:val="en-US" w:eastAsia="zh-CN" w:bidi="ar-SA"/>
        </w:rPr>
        <w:t>本年本单位总收入为</w:t>
      </w:r>
      <w:r>
        <w:rPr>
          <w:rFonts w:hint="eastAsia" w:hAnsi="宋体" w:cs="Times New Roman"/>
          <w:kern w:val="2"/>
          <w:sz w:val="28"/>
          <w:szCs w:val="28"/>
          <w:lang w:val="en-US" w:eastAsia="zh-CN" w:bidi="ar-SA"/>
        </w:rPr>
        <w:t>160.59</w:t>
      </w:r>
      <w:r>
        <w:rPr>
          <w:rFonts w:hint="eastAsia" w:ascii="宋体" w:hAnsi="宋体" w:eastAsia="宋体" w:cs="Times New Roman"/>
          <w:kern w:val="2"/>
          <w:sz w:val="28"/>
          <w:szCs w:val="28"/>
          <w:lang w:val="en-US" w:eastAsia="zh-CN" w:bidi="ar-SA"/>
        </w:rPr>
        <w:t xml:space="preserve">万元，其中：财政拨款收入  </w:t>
      </w:r>
      <w:r>
        <w:rPr>
          <w:rFonts w:hint="eastAsia" w:hAnsi="宋体" w:cs="Times New Roman"/>
          <w:kern w:val="2"/>
          <w:sz w:val="28"/>
          <w:szCs w:val="28"/>
          <w:lang w:val="en-US" w:eastAsia="zh-CN" w:bidi="ar-SA"/>
        </w:rPr>
        <w:t>130.59</w:t>
      </w:r>
      <w:r>
        <w:rPr>
          <w:rFonts w:hint="eastAsia" w:ascii="宋体" w:hAnsi="宋体" w:eastAsia="宋体" w:cs="Times New Roman"/>
          <w:kern w:val="2"/>
          <w:sz w:val="28"/>
          <w:szCs w:val="28"/>
          <w:lang w:val="en-US" w:eastAsia="zh-CN" w:bidi="ar-SA"/>
        </w:rPr>
        <w:t>万元，占总收入的</w:t>
      </w:r>
      <w:r>
        <w:rPr>
          <w:rFonts w:hint="eastAsia" w:hAnsi="宋体" w:cs="Times New Roman"/>
          <w:kern w:val="2"/>
          <w:sz w:val="28"/>
          <w:szCs w:val="28"/>
          <w:lang w:val="en-US" w:eastAsia="zh-CN" w:bidi="ar-SA"/>
        </w:rPr>
        <w:t>81.32</w:t>
      </w:r>
      <w:r>
        <w:rPr>
          <w:rFonts w:hint="eastAsia" w:ascii="宋体" w:hAnsi="宋体" w:eastAsia="宋体" w:cs="Times New Roman"/>
          <w:kern w:val="2"/>
          <w:sz w:val="28"/>
          <w:szCs w:val="28"/>
          <w:lang w:val="en-US" w:eastAsia="zh-CN" w:bidi="ar-SA"/>
        </w:rPr>
        <w:t>%</w:t>
      </w:r>
      <w:r>
        <w:rPr>
          <w:rFonts w:hint="eastAsia" w:hAnsi="宋体" w:cs="Times New Roman"/>
          <w:kern w:val="2"/>
          <w:sz w:val="28"/>
          <w:szCs w:val="28"/>
          <w:lang w:val="en-US" w:eastAsia="zh-CN" w:bidi="ar-SA"/>
        </w:rPr>
        <w:t>，其他收入30万元，占总收入18.68%</w:t>
      </w:r>
      <w:r>
        <w:rPr>
          <w:rFonts w:hint="eastAsia" w:ascii="宋体" w:hAnsi="宋体" w:eastAsia="宋体" w:cs="Times New Roman"/>
          <w:kern w:val="2"/>
          <w:sz w:val="28"/>
          <w:szCs w:val="28"/>
          <w:lang w:val="en-US" w:eastAsia="zh-CN" w:bidi="ar-SA"/>
        </w:rPr>
        <w:t>。总支出</w:t>
      </w:r>
      <w:r>
        <w:rPr>
          <w:rFonts w:hint="eastAsia" w:hAnsi="宋体" w:cs="Times New Roman"/>
          <w:kern w:val="2"/>
          <w:sz w:val="28"/>
          <w:szCs w:val="28"/>
          <w:lang w:val="en-US" w:eastAsia="zh-CN" w:bidi="ar-SA"/>
        </w:rPr>
        <w:t>160.59</w:t>
      </w:r>
      <w:r>
        <w:rPr>
          <w:rFonts w:hint="eastAsia" w:ascii="宋体" w:hAnsi="宋体" w:eastAsia="宋体" w:cs="Times New Roman"/>
          <w:kern w:val="2"/>
          <w:sz w:val="28"/>
          <w:szCs w:val="28"/>
          <w:lang w:val="en-US" w:eastAsia="zh-CN" w:bidi="ar-SA"/>
        </w:rPr>
        <w:t>万元，其中：基本支出</w:t>
      </w:r>
      <w:r>
        <w:rPr>
          <w:rFonts w:hint="eastAsia" w:hAnsi="宋体" w:cs="Times New Roman"/>
          <w:kern w:val="2"/>
          <w:sz w:val="28"/>
          <w:szCs w:val="28"/>
          <w:lang w:val="en-US" w:eastAsia="zh-CN" w:bidi="ar-SA"/>
        </w:rPr>
        <w:t>129.19</w:t>
      </w:r>
      <w:r>
        <w:rPr>
          <w:rFonts w:hint="eastAsia" w:ascii="宋体" w:hAnsi="宋体" w:eastAsia="宋体" w:cs="Times New Roman"/>
          <w:kern w:val="2"/>
          <w:sz w:val="28"/>
          <w:szCs w:val="28"/>
          <w:lang w:val="en-US" w:eastAsia="zh-CN" w:bidi="ar-SA"/>
        </w:rPr>
        <w:t>万元</w:t>
      </w:r>
      <w:r>
        <w:rPr>
          <w:rFonts w:hint="eastAsia" w:hAnsi="宋体" w:cs="Times New Roman"/>
          <w:kern w:val="2"/>
          <w:sz w:val="28"/>
          <w:szCs w:val="28"/>
          <w:lang w:val="en-US" w:eastAsia="zh-CN" w:bidi="ar-SA"/>
        </w:rPr>
        <w:t>，其中人员支出124.58万元</w:t>
      </w:r>
      <w:r>
        <w:rPr>
          <w:rFonts w:hint="eastAsia" w:ascii="宋体" w:hAnsi="宋体" w:eastAsia="宋体" w:cs="Times New Roman"/>
          <w:kern w:val="2"/>
          <w:sz w:val="28"/>
          <w:szCs w:val="28"/>
          <w:lang w:val="en-US" w:eastAsia="zh-CN" w:bidi="ar-SA"/>
        </w:rPr>
        <w:t>（其中：工资福利支出</w:t>
      </w:r>
      <w:r>
        <w:rPr>
          <w:rFonts w:hint="eastAsia" w:hAnsi="宋体" w:cs="Times New Roman"/>
          <w:kern w:val="2"/>
          <w:sz w:val="28"/>
          <w:szCs w:val="28"/>
          <w:lang w:val="en-US" w:eastAsia="zh-CN" w:bidi="ar-SA"/>
        </w:rPr>
        <w:t>95.29</w:t>
      </w:r>
      <w:r>
        <w:rPr>
          <w:rFonts w:hint="eastAsia" w:ascii="宋体" w:hAnsi="宋体" w:eastAsia="宋体" w:cs="Times New Roman"/>
          <w:kern w:val="2"/>
          <w:sz w:val="28"/>
          <w:szCs w:val="28"/>
          <w:lang w:val="en-US" w:eastAsia="zh-CN" w:bidi="ar-SA"/>
        </w:rPr>
        <w:t>万元，占基本支出的</w:t>
      </w:r>
      <w:r>
        <w:rPr>
          <w:rFonts w:hint="eastAsia" w:hAnsi="宋体" w:cs="Times New Roman"/>
          <w:kern w:val="2"/>
          <w:sz w:val="28"/>
          <w:szCs w:val="28"/>
          <w:lang w:val="en-US" w:eastAsia="zh-CN" w:bidi="ar-SA"/>
        </w:rPr>
        <w:t>73.76</w:t>
      </w:r>
      <w:r>
        <w:rPr>
          <w:rFonts w:hint="eastAsia" w:ascii="宋体" w:hAnsi="宋体" w:eastAsia="宋体" w:cs="Times New Roman"/>
          <w:kern w:val="2"/>
          <w:sz w:val="28"/>
          <w:szCs w:val="28"/>
          <w:lang w:val="en-US" w:eastAsia="zh-CN" w:bidi="ar-SA"/>
        </w:rPr>
        <w:t>%，对个人和家庭补助支出</w:t>
      </w:r>
      <w:r>
        <w:rPr>
          <w:rFonts w:hint="eastAsia" w:hAnsi="宋体" w:cs="Times New Roman"/>
          <w:kern w:val="2"/>
          <w:sz w:val="28"/>
          <w:szCs w:val="28"/>
          <w:lang w:val="en-US" w:eastAsia="zh-CN" w:bidi="ar-SA"/>
        </w:rPr>
        <w:t>29.29</w:t>
      </w:r>
      <w:r>
        <w:rPr>
          <w:rFonts w:hint="eastAsia" w:ascii="宋体" w:hAnsi="宋体" w:eastAsia="宋体" w:cs="Times New Roman"/>
          <w:kern w:val="2"/>
          <w:sz w:val="28"/>
          <w:szCs w:val="28"/>
          <w:lang w:val="en-US" w:eastAsia="zh-CN" w:bidi="ar-SA"/>
        </w:rPr>
        <w:t>万元，占基本支出</w:t>
      </w:r>
      <w:r>
        <w:rPr>
          <w:rFonts w:hint="eastAsia" w:hAnsi="宋体" w:cs="Times New Roman"/>
          <w:kern w:val="2"/>
          <w:sz w:val="28"/>
          <w:szCs w:val="28"/>
          <w:lang w:val="en-US" w:eastAsia="zh-CN" w:bidi="ar-SA"/>
        </w:rPr>
        <w:t>22.67</w:t>
      </w:r>
      <w:r>
        <w:rPr>
          <w:rFonts w:hint="eastAsia" w:ascii="宋体" w:hAnsi="宋体" w:eastAsia="宋体" w:cs="Times New Roman"/>
          <w:kern w:val="2"/>
          <w:sz w:val="28"/>
          <w:szCs w:val="28"/>
          <w:lang w:val="en-US" w:eastAsia="zh-CN" w:bidi="ar-SA"/>
        </w:rPr>
        <w:t>%</w:t>
      </w:r>
      <w:r>
        <w:rPr>
          <w:rFonts w:hint="eastAsia" w:hAnsi="宋体" w:cs="Times New Roman"/>
          <w:kern w:val="2"/>
          <w:sz w:val="28"/>
          <w:szCs w:val="28"/>
          <w:lang w:val="en-US" w:eastAsia="zh-CN" w:bidi="ar-SA"/>
        </w:rPr>
        <w:t>，公用经费4.61万元，其中日常公用经费4.4万元，工会经费0.21万元</w:t>
      </w:r>
      <w:r>
        <w:rPr>
          <w:rFonts w:hint="eastAsia" w:ascii="宋体" w:hAnsi="宋体" w:eastAsia="宋体" w:cs="Times New Roman"/>
          <w:kern w:val="2"/>
          <w:sz w:val="28"/>
          <w:szCs w:val="28"/>
          <w:lang w:val="en-US" w:eastAsia="zh-CN" w:bidi="ar-SA"/>
        </w:rPr>
        <w:t>），项目支出</w:t>
      </w:r>
      <w:r>
        <w:rPr>
          <w:rFonts w:hint="eastAsia" w:hAnsi="宋体" w:cs="Times New Roman"/>
          <w:kern w:val="2"/>
          <w:sz w:val="28"/>
          <w:szCs w:val="28"/>
          <w:lang w:val="en-US" w:eastAsia="zh-CN" w:bidi="ar-SA"/>
        </w:rPr>
        <w:t>30</w:t>
      </w:r>
      <w:r>
        <w:rPr>
          <w:rFonts w:hint="eastAsia" w:ascii="宋体" w:hAnsi="宋体" w:eastAsia="宋体" w:cs="Times New Roman"/>
          <w:kern w:val="2"/>
          <w:sz w:val="28"/>
          <w:szCs w:val="28"/>
          <w:lang w:val="en-US" w:eastAsia="zh-CN" w:bidi="ar-SA"/>
        </w:rPr>
        <w:t>万元</w:t>
      </w:r>
      <w:r>
        <w:rPr>
          <w:rFonts w:hint="eastAsia" w:hAnsi="宋体" w:cs="Times New Roman"/>
          <w:kern w:val="2"/>
          <w:sz w:val="28"/>
          <w:szCs w:val="28"/>
          <w:lang w:val="en-US" w:eastAsia="zh-CN" w:bidi="ar-SA"/>
        </w:rPr>
        <w:t>，为野外文物保护补助1.4万元。</w:t>
      </w:r>
    </w:p>
    <w:p>
      <w:pPr>
        <w:spacing w:line="600" w:lineRule="exact"/>
        <w:ind w:firstLine="648"/>
        <w:rPr>
          <w:rFonts w:hint="eastAsia" w:ascii="宋体" w:hAnsi="宋体" w:cs="仿宋_GB2312"/>
          <w:sz w:val="28"/>
          <w:szCs w:val="28"/>
        </w:rPr>
      </w:pPr>
      <w:r>
        <w:rPr>
          <w:rFonts w:hint="eastAsia" w:ascii="宋体" w:hAnsi="宋体" w:eastAsia="宋体" w:cs="Times New Roman"/>
          <w:kern w:val="2"/>
          <w:sz w:val="28"/>
          <w:szCs w:val="28"/>
          <w:lang w:val="en-US" w:eastAsia="zh-CN" w:bidi="ar-SA"/>
        </w:rPr>
        <w:t>本年度实际收到的一般预算财政拨款收入</w:t>
      </w:r>
      <w:r>
        <w:rPr>
          <w:rFonts w:hint="eastAsia" w:ascii="宋体" w:hAnsi="宋体" w:cs="Times New Roman"/>
          <w:kern w:val="2"/>
          <w:sz w:val="28"/>
          <w:szCs w:val="28"/>
          <w:lang w:val="en-US" w:eastAsia="zh-CN" w:bidi="ar-SA"/>
        </w:rPr>
        <w:t>160.59</w:t>
      </w:r>
      <w:r>
        <w:rPr>
          <w:rFonts w:hint="eastAsia" w:ascii="宋体" w:hAnsi="宋体" w:eastAsia="宋体" w:cs="Times New Roman"/>
          <w:kern w:val="2"/>
          <w:sz w:val="28"/>
          <w:szCs w:val="28"/>
          <w:lang w:val="en-US" w:eastAsia="zh-CN" w:bidi="ar-SA"/>
        </w:rPr>
        <w:t>万元，与财政拨款核对相符。</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spacing w:line="600" w:lineRule="exact"/>
        <w:ind w:firstLine="560" w:firstLineChars="200"/>
        <w:rPr>
          <w:rFonts w:hint="eastAsia" w:ascii="宋体" w:hAnsi="宋体"/>
          <w:sz w:val="28"/>
          <w:szCs w:val="28"/>
          <w:lang w:eastAsia="zh-CN"/>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w:t>
      </w:r>
      <w:r>
        <w:rPr>
          <w:rFonts w:hint="eastAsia" w:ascii="宋体" w:hAnsi="宋体"/>
          <w:sz w:val="28"/>
          <w:szCs w:val="28"/>
          <w:lang w:eastAsia="zh-CN"/>
        </w:rPr>
        <w:t>本单位无</w:t>
      </w:r>
      <w:r>
        <w:rPr>
          <w:rFonts w:hint="eastAsia" w:ascii="宋体" w:hAnsi="宋体"/>
          <w:sz w:val="28"/>
          <w:szCs w:val="28"/>
        </w:rPr>
        <w:t>“三公”经费</w:t>
      </w:r>
      <w:r>
        <w:rPr>
          <w:rFonts w:hint="eastAsia" w:ascii="宋体" w:hAnsi="宋体"/>
          <w:sz w:val="28"/>
          <w:szCs w:val="28"/>
          <w:lang w:eastAsia="zh-CN"/>
        </w:rPr>
        <w:t>支出。</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w:t>
      </w:r>
      <w:r>
        <w:rPr>
          <w:rFonts w:hint="eastAsia" w:ascii="宋体" w:hAnsi="宋体"/>
          <w:sz w:val="28"/>
          <w:szCs w:val="28"/>
          <w:lang w:eastAsia="zh-CN"/>
        </w:rPr>
        <w:t>本单位无此项经费支出。</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截止2020年12月31日，本部门共有车辆0辆。</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本部门2020年度政府采购支出总额2.38万元，其中：政府采购货物支出1.59万元、政府采购工程支出0.79万元、政府采购服务支出0万元。授予中小企业合同金额0万元，占政府采购支出总额的0%。</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hint="eastAsia" w:ascii="宋体" w:hAnsi="宋体" w:eastAsia="宋体"/>
          <w:sz w:val="28"/>
          <w:szCs w:val="28"/>
          <w:lang w:val="en-US" w:eastAsia="zh-CN"/>
        </w:rPr>
      </w:pPr>
      <w:r>
        <w:rPr>
          <w:rFonts w:hint="eastAsia" w:ascii="宋体" w:hAnsi="宋体"/>
          <w:sz w:val="28"/>
          <w:szCs w:val="28"/>
        </w:rPr>
        <w:t>根据财政预算管理要求，我</w:t>
      </w:r>
      <w:r>
        <w:rPr>
          <w:rFonts w:hint="eastAsia" w:ascii="宋体" w:hAnsi="宋体"/>
          <w:sz w:val="28"/>
          <w:szCs w:val="28"/>
          <w:lang w:eastAsia="zh-CN"/>
        </w:rPr>
        <w:t>部门</w:t>
      </w:r>
      <w:r>
        <w:rPr>
          <w:rFonts w:hint="eastAsia" w:ascii="宋体" w:hAnsi="宋体"/>
          <w:sz w:val="28"/>
          <w:szCs w:val="28"/>
        </w:rPr>
        <w:t>组织对20</w:t>
      </w:r>
      <w:r>
        <w:rPr>
          <w:rFonts w:hint="eastAsia" w:ascii="宋体" w:hAnsi="宋体"/>
          <w:sz w:val="28"/>
          <w:szCs w:val="28"/>
          <w:lang w:val="en-US" w:eastAsia="zh-CN"/>
        </w:rPr>
        <w:t>20</w:t>
      </w:r>
      <w:r>
        <w:rPr>
          <w:rFonts w:hint="eastAsia" w:ascii="宋体" w:hAnsi="宋体"/>
          <w:sz w:val="28"/>
          <w:szCs w:val="28"/>
        </w:rPr>
        <w:t>年度一般公共预算项目支出开展绩效评价。</w:t>
      </w:r>
      <w:r>
        <w:rPr>
          <w:rFonts w:hint="eastAsia" w:ascii="宋体" w:hAnsi="宋体"/>
          <w:sz w:val="28"/>
          <w:szCs w:val="28"/>
          <w:lang w:eastAsia="zh-CN"/>
        </w:rPr>
        <w:t>共</w:t>
      </w:r>
      <w:r>
        <w:rPr>
          <w:rFonts w:hint="eastAsia" w:ascii="宋体" w:hAnsi="宋体"/>
          <w:sz w:val="28"/>
          <w:szCs w:val="28"/>
        </w:rPr>
        <w:t>涉及资金</w:t>
      </w:r>
      <w:r>
        <w:rPr>
          <w:rFonts w:hint="eastAsia" w:ascii="宋体" w:hAnsi="宋体"/>
          <w:sz w:val="28"/>
          <w:szCs w:val="28"/>
          <w:lang w:val="en-US" w:eastAsia="zh-CN"/>
        </w:rPr>
        <w:t>160.59</w:t>
      </w:r>
      <w:r>
        <w:rPr>
          <w:rFonts w:hint="eastAsia" w:ascii="宋体" w:hAnsi="宋体"/>
          <w:sz w:val="28"/>
          <w:szCs w:val="28"/>
        </w:rPr>
        <w:t>万元，占一般公共预算项目支出</w:t>
      </w:r>
      <w:r>
        <w:rPr>
          <w:rFonts w:hint="eastAsia" w:ascii="宋体" w:hAnsi="宋体"/>
          <w:sz w:val="28"/>
          <w:szCs w:val="28"/>
          <w:lang w:eastAsia="zh-CN"/>
        </w:rPr>
        <w:t>总额的</w:t>
      </w:r>
      <w:r>
        <w:rPr>
          <w:rFonts w:hint="eastAsia" w:ascii="宋体" w:hAnsi="宋体"/>
          <w:sz w:val="28"/>
          <w:szCs w:val="28"/>
          <w:lang w:val="en-US" w:eastAsia="zh-CN"/>
        </w:rPr>
        <w:t>100</w:t>
      </w:r>
      <w:r>
        <w:rPr>
          <w:rFonts w:hint="eastAsia" w:ascii="宋体" w:hAnsi="宋体"/>
          <w:sz w:val="28"/>
          <w:szCs w:val="28"/>
        </w:rPr>
        <w:t>%。</w:t>
      </w:r>
      <w:r>
        <w:rPr>
          <w:rFonts w:hint="eastAsia" w:ascii="宋体" w:hAnsi="宋体"/>
          <w:sz w:val="28"/>
          <w:szCs w:val="28"/>
          <w:lang w:eastAsia="zh-CN"/>
        </w:rPr>
        <w:t>此外，</w:t>
      </w:r>
      <w:r>
        <w:rPr>
          <w:rFonts w:hint="eastAsia" w:ascii="宋体" w:hAnsi="宋体" w:cs="Times New Roman"/>
          <w:sz w:val="28"/>
          <w:szCs w:val="28"/>
          <w:lang w:val="en-US" w:eastAsia="zh-CN"/>
        </w:rPr>
        <w:t>我馆按照年初预算安</w:t>
      </w:r>
      <w:bookmarkStart w:id="0" w:name="_GoBack"/>
      <w:bookmarkEnd w:id="0"/>
      <w:r>
        <w:rPr>
          <w:rFonts w:hint="eastAsia" w:ascii="宋体" w:hAnsi="宋体" w:cs="Times New Roman"/>
          <w:sz w:val="28"/>
          <w:szCs w:val="28"/>
          <w:lang w:val="en-US" w:eastAsia="zh-CN"/>
        </w:rPr>
        <w:t>排，对人员经费、日常公用经费、项目经费实行严格控制，资金收支坚持按照规章制度执行，人员经费申报及时，资金支出安排合理，确保了博物馆有效发挥文物保护工作职责。</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sz w:val="28"/>
          <w:szCs w:val="28"/>
        </w:rPr>
      </w:pPr>
      <w:r>
        <w:rPr>
          <w:rFonts w:hint="eastAsia" w:ascii="仿宋_GB2312" w:hAnsi="仿宋_GB2312" w:eastAsia="仿宋_GB2312" w:cs="仿宋_GB2312"/>
          <w:sz w:val="32"/>
          <w:szCs w:val="32"/>
        </w:rPr>
        <w:t xml:space="preserve">     </w:t>
      </w:r>
      <w:r>
        <w:rPr>
          <w:rFonts w:hint="eastAsia" w:ascii="宋体" w:hAnsi="宋体"/>
          <w:sz w:val="28"/>
          <w:szCs w:val="28"/>
        </w:rPr>
        <w:t>本年度单位无政府性基金支出。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B9791"/>
    <w:multiLevelType w:val="singleLevel"/>
    <w:tmpl w:val="81EB9791"/>
    <w:lvl w:ilvl="0" w:tentative="0">
      <w:start w:val="1"/>
      <w:numFmt w:val="chineseCounting"/>
      <w:suff w:val="nothing"/>
      <w:lvlText w:val="%1、"/>
      <w:lvlJc w:val="left"/>
      <w:pPr>
        <w:ind w:left="-6"/>
      </w:pPr>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13356199"/>
    <w:rsid w:val="28D9231D"/>
    <w:rsid w:val="40170C40"/>
    <w:rsid w:val="468D3D0A"/>
    <w:rsid w:val="4E7E7EEC"/>
    <w:rsid w:val="6FA25E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2021-08-04T07:00:48Z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