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崇信县工业集中区管理委员会</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贯彻落实县委、县政府的重要决策和工作部署;负责编制集中区总体规划，制定并落实各项优惠政策及管理办法。</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贯彻执行各级政府的招商引资政策;制定落实集中区招商引资、对外宣传、推介和形象策划的总体方案及年度工作计划。</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负责招商引资的投资咨询、项目筛选、调研论证、储备、洽谈、会审工作，负责审核报批入驻集中区的投资项目.</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负责为辖区内企业提供信息服务、创业指导，发展电子商务，负责建立企业投融资、担保体系，帮助企业开展人才引进和交流工作，会同人社部门为企业用工提供保障。</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负责编制并组织实施集中区总体规划和控制性详规，协调制定集中区内各厂矿企业发展规划，负责做好入驻企业选址工作。</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指导企业进行技术创新、资源综合利用、技术交流，组织企业参加各类经贸洽谈活动。</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负责建立完善企业档案和资料，定期完成企业各项经济指标的统计和报表工作。</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负责集中区内建筑工程初步审查，协调管理集中区内建筑市场，负责集中区基础设施建设管理工作。</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负责协调市场监管、税务等部门，为集中区内各企业生产经营提供服务。</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开展集中区内各企业的环境保护、安全生产、项目建设等事宜的协调、监督和指导工作。</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10" w:leftChars="0" w:firstLine="640" w:firstLineChars="0"/>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完成县委、县政府交办的其他工作。</w:t>
      </w:r>
    </w:p>
    <w:p>
      <w:pPr>
        <w:numPr>
          <w:ilvl w:val="0"/>
          <w:numId w:val="3"/>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（一）机关内设机构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县工业集中区</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内设</w:t>
      </w:r>
      <w:r>
        <w:rPr>
          <w:rFonts w:hint="eastAsia" w:ascii="仿宋_GB2312" w:hAnsi="仿宋_GB2312" w:eastAsia="仿宋_GB2312" w:cs="仿宋_GB2312"/>
          <w:sz w:val="32"/>
          <w:szCs w:val="32"/>
        </w:rPr>
        <w:t>机构</w:t>
      </w:r>
      <w:r>
        <w:rPr>
          <w:rFonts w:hint="eastAsia" w:ascii="仿宋_GB2312" w:hAnsi="仿宋_GB2312" w:eastAsia="仿宋_GB2312" w:cs="仿宋_GB2312"/>
          <w:i w:val="0"/>
          <w:iCs w:val="0"/>
          <w:caps w:val="0"/>
          <w:color w:val="333333"/>
          <w:spacing w:val="0"/>
          <w:sz w:val="32"/>
          <w:szCs w:val="32"/>
          <w:shd w:val="clear" w:fill="FFFFFF"/>
        </w:rPr>
        <w:t>，具体为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综合办公室、招商服务科、规划建设科、企业管理科。</w:t>
      </w:r>
    </w:p>
    <w:p>
      <w:pPr>
        <w:numPr>
          <w:ilvl w:val="0"/>
          <w:numId w:val="4"/>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参照公务员法管理单位</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无参照公务员法管理单位。</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（三）直属事业单位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2个下属事业单位：</w:t>
      </w:r>
      <w:r>
        <w:rPr>
          <w:rFonts w:hint="eastAsia" w:ascii="仿宋_GB2312" w:hAnsi="仿宋_GB2312" w:eastAsia="仿宋_GB2312" w:cs="仿宋_GB2312"/>
          <w:sz w:val="32"/>
          <w:szCs w:val="32"/>
        </w:rPr>
        <w:t>铜城能源循环经济产业园服务中心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新窑煤炭深加工产业园服务中心</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spacing w:line="600" w:lineRule="exact"/>
        <w:ind w:firstLine="560" w:firstLineChars="200"/>
        <w:rPr>
          <w:rFonts w:hint="eastAsia" w:ascii="宋体" w:hAnsi="宋体" w:cs="仿宋_GB2312"/>
          <w:sz w:val="28"/>
          <w:szCs w:val="28"/>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w:t>
      </w:r>
      <w:r>
        <w:rPr>
          <w:rFonts w:hint="eastAsia" w:ascii="宋体" w:hAnsi="宋体" w:cs="宋体"/>
          <w:color w:val="000000"/>
          <w:kern w:val="0"/>
          <w:sz w:val="28"/>
          <w:szCs w:val="28"/>
          <w:lang w:eastAsia="zh-CN"/>
        </w:rPr>
        <w:t>崇信县工业集中区管理委员会</w:t>
      </w:r>
      <w:r>
        <w:rPr>
          <w:rFonts w:hint="eastAsia" w:ascii="宋体" w:hAnsi="宋体" w:cs="宋体"/>
          <w:color w:val="000000"/>
          <w:kern w:val="0"/>
          <w:sz w:val="28"/>
          <w:szCs w:val="28"/>
        </w:rPr>
        <w:t>决算总收入</w:t>
      </w:r>
      <w:r>
        <w:rPr>
          <w:rFonts w:hint="eastAsia" w:ascii="宋体" w:hAnsi="宋体" w:cs="宋体"/>
          <w:color w:val="000000"/>
          <w:kern w:val="0"/>
          <w:sz w:val="28"/>
          <w:szCs w:val="28"/>
          <w:lang w:val="en-US" w:eastAsia="zh-CN"/>
        </w:rPr>
        <w:t>485.56</w:t>
      </w:r>
      <w:r>
        <w:rPr>
          <w:rFonts w:hint="eastAsia" w:ascii="宋体" w:hAnsi="宋体" w:cs="宋体"/>
          <w:color w:val="000000"/>
          <w:kern w:val="0"/>
          <w:sz w:val="28"/>
          <w:szCs w:val="28"/>
        </w:rPr>
        <w:t>万元。其中：一般预算财政拨款收入</w:t>
      </w:r>
      <w:r>
        <w:rPr>
          <w:rFonts w:hint="eastAsia" w:ascii="宋体" w:hAnsi="宋体" w:cs="宋体"/>
          <w:color w:val="000000"/>
          <w:kern w:val="0"/>
          <w:sz w:val="28"/>
          <w:szCs w:val="28"/>
          <w:lang w:val="en-US" w:eastAsia="zh-CN"/>
        </w:rPr>
        <w:t>485.56</w:t>
      </w:r>
      <w:r>
        <w:rPr>
          <w:rFonts w:hint="eastAsia" w:ascii="宋体" w:hAnsi="宋体" w:cs="宋体"/>
          <w:color w:val="000000"/>
          <w:kern w:val="0"/>
          <w:sz w:val="28"/>
          <w:szCs w:val="28"/>
        </w:rPr>
        <w:t>万元。</w:t>
      </w:r>
    </w:p>
    <w:p>
      <w:pPr>
        <w:spacing w:line="600" w:lineRule="exact"/>
        <w:ind w:firstLine="560" w:firstLineChars="20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w:t>
      </w:r>
      <w:r>
        <w:rPr>
          <w:rFonts w:hint="eastAsia" w:ascii="宋体" w:hAnsi="宋体" w:cs="宋体"/>
          <w:color w:val="000000"/>
          <w:kern w:val="0"/>
          <w:sz w:val="28"/>
          <w:szCs w:val="28"/>
          <w:lang w:eastAsia="zh-CN"/>
        </w:rPr>
        <w:t>崇信县工业集中区管理委员会</w:t>
      </w:r>
      <w:r>
        <w:rPr>
          <w:rFonts w:hint="eastAsia" w:ascii="宋体" w:hAnsi="宋体" w:cs="宋体"/>
          <w:color w:val="000000"/>
          <w:kern w:val="0"/>
          <w:sz w:val="28"/>
          <w:szCs w:val="28"/>
        </w:rPr>
        <w:t>决算总支出</w:t>
      </w:r>
      <w:r>
        <w:rPr>
          <w:rFonts w:hint="eastAsia" w:ascii="宋体" w:hAnsi="宋体" w:cs="宋体"/>
          <w:color w:val="000000"/>
          <w:kern w:val="0"/>
          <w:sz w:val="28"/>
          <w:szCs w:val="28"/>
          <w:lang w:val="en-US" w:eastAsia="zh-CN"/>
        </w:rPr>
        <w:t>1292.69</w:t>
      </w:r>
      <w:r>
        <w:rPr>
          <w:rFonts w:hint="eastAsia" w:ascii="宋体" w:hAnsi="宋体" w:cs="宋体"/>
          <w:color w:val="000000"/>
          <w:kern w:val="0"/>
          <w:sz w:val="28"/>
          <w:szCs w:val="28"/>
        </w:rPr>
        <w:t>万元。其中：一般公共服务支出</w:t>
      </w:r>
      <w:r>
        <w:rPr>
          <w:rFonts w:hint="eastAsia" w:ascii="宋体" w:hAnsi="宋体" w:cs="宋体"/>
          <w:color w:val="000000"/>
          <w:kern w:val="0"/>
          <w:sz w:val="28"/>
          <w:szCs w:val="28"/>
          <w:lang w:val="en-US" w:eastAsia="zh-CN"/>
        </w:rPr>
        <w:t>501.13</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节能环保支出</w:t>
      </w:r>
      <w:r>
        <w:rPr>
          <w:rFonts w:hint="eastAsia" w:ascii="宋体" w:hAnsi="宋体" w:cs="宋体"/>
          <w:color w:val="000000"/>
          <w:kern w:val="0"/>
          <w:sz w:val="28"/>
          <w:szCs w:val="28"/>
          <w:lang w:val="en-US" w:eastAsia="zh-CN"/>
        </w:rPr>
        <w:t>791.56万元。</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一般公共预算财政拨款基本支出</w:t>
      </w:r>
      <w:r>
        <w:rPr>
          <w:rFonts w:hint="eastAsia" w:ascii="宋体" w:hAnsi="宋体" w:cs="宋体"/>
          <w:color w:val="000000"/>
          <w:kern w:val="0"/>
          <w:sz w:val="28"/>
          <w:szCs w:val="28"/>
          <w:lang w:val="en-US" w:eastAsia="zh-CN"/>
        </w:rPr>
        <w:t>501.13</w:t>
      </w:r>
      <w:r>
        <w:rPr>
          <w:rFonts w:hint="eastAsia" w:ascii="宋体" w:hAnsi="宋体" w:cs="宋体"/>
          <w:color w:val="000000"/>
          <w:kern w:val="0"/>
          <w:sz w:val="28"/>
          <w:szCs w:val="28"/>
        </w:rPr>
        <w:t>万元，其中：人员经费</w:t>
      </w:r>
      <w:r>
        <w:rPr>
          <w:rFonts w:hint="eastAsia" w:ascii="宋体" w:hAnsi="宋体" w:cs="宋体"/>
          <w:color w:val="000000"/>
          <w:kern w:val="0"/>
          <w:sz w:val="28"/>
          <w:szCs w:val="28"/>
          <w:lang w:val="en-US" w:eastAsia="zh-CN"/>
        </w:rPr>
        <w:t>387.13</w:t>
      </w:r>
      <w:r>
        <w:rPr>
          <w:rFonts w:hint="eastAsia" w:ascii="宋体" w:hAnsi="宋体" w:cs="宋体"/>
          <w:color w:val="000000"/>
          <w:kern w:val="0"/>
          <w:sz w:val="28"/>
          <w:szCs w:val="28"/>
        </w:rPr>
        <w:t>万元（其中：工资福利支出</w:t>
      </w:r>
      <w:r>
        <w:rPr>
          <w:rFonts w:hint="eastAsia" w:ascii="宋体" w:hAnsi="宋体" w:cs="宋体"/>
          <w:color w:val="000000"/>
          <w:kern w:val="0"/>
          <w:sz w:val="28"/>
          <w:szCs w:val="28"/>
          <w:lang w:val="en-US" w:eastAsia="zh-CN"/>
        </w:rPr>
        <w:t>268.76</w:t>
      </w:r>
      <w:r>
        <w:rPr>
          <w:rFonts w:hint="eastAsia" w:ascii="宋体" w:hAnsi="宋体" w:cs="宋体"/>
          <w:color w:val="000000"/>
          <w:kern w:val="0"/>
          <w:sz w:val="28"/>
          <w:szCs w:val="28"/>
        </w:rPr>
        <w:t>万元，对个人和家庭的补助</w:t>
      </w:r>
      <w:r>
        <w:rPr>
          <w:rFonts w:hint="eastAsia" w:ascii="宋体" w:hAnsi="宋体" w:cs="宋体"/>
          <w:color w:val="000000"/>
          <w:kern w:val="0"/>
          <w:sz w:val="28"/>
          <w:szCs w:val="28"/>
          <w:lang w:val="en-US" w:eastAsia="zh-CN"/>
        </w:rPr>
        <w:t>118.37</w:t>
      </w:r>
      <w:r>
        <w:rPr>
          <w:rFonts w:hint="eastAsia" w:ascii="宋体" w:hAnsi="宋体" w:cs="宋体"/>
          <w:color w:val="000000"/>
          <w:kern w:val="0"/>
          <w:sz w:val="28"/>
          <w:szCs w:val="28"/>
        </w:rPr>
        <w:t>万元）公用经费</w:t>
      </w:r>
      <w:r>
        <w:rPr>
          <w:rFonts w:hint="eastAsia" w:ascii="宋体" w:hAnsi="宋体" w:cs="宋体"/>
          <w:color w:val="000000"/>
          <w:kern w:val="0"/>
          <w:sz w:val="28"/>
          <w:szCs w:val="28"/>
          <w:lang w:val="en-US" w:eastAsia="zh-CN"/>
        </w:rPr>
        <w:t>114</w:t>
      </w:r>
      <w:r>
        <w:rPr>
          <w:rFonts w:hint="eastAsia" w:ascii="宋体" w:hAnsi="宋体" w:cs="宋体"/>
          <w:color w:val="000000"/>
          <w:kern w:val="0"/>
          <w:sz w:val="28"/>
          <w:szCs w:val="28"/>
        </w:rPr>
        <w:t>万元（其中商品和服务支出</w:t>
      </w:r>
      <w:r>
        <w:rPr>
          <w:rFonts w:hint="eastAsia" w:ascii="宋体" w:hAnsi="宋体" w:cs="宋体"/>
          <w:color w:val="000000"/>
          <w:kern w:val="0"/>
          <w:sz w:val="28"/>
          <w:szCs w:val="28"/>
          <w:lang w:val="en-US" w:eastAsia="zh-CN"/>
        </w:rPr>
        <w:t>114</w:t>
      </w:r>
      <w:r>
        <w:rPr>
          <w:rFonts w:hint="eastAsia" w:ascii="宋体" w:hAnsi="宋体" w:cs="宋体"/>
          <w:color w:val="000000"/>
          <w:kern w:val="0"/>
          <w:sz w:val="28"/>
          <w:szCs w:val="28"/>
        </w:rPr>
        <w:t>万元），均为行政事业类正常运行支出。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w:t>
      </w:r>
      <w:r>
        <w:rPr>
          <w:rFonts w:hint="eastAsia" w:ascii="宋体" w:hAnsi="宋体" w:cs="宋体"/>
          <w:color w:val="000000"/>
          <w:kern w:val="0"/>
          <w:sz w:val="28"/>
          <w:szCs w:val="28"/>
          <w:lang w:eastAsia="zh-CN"/>
        </w:rPr>
        <w:t>崇信县工业集中区管理委员会</w:t>
      </w:r>
      <w:r>
        <w:rPr>
          <w:rFonts w:hint="eastAsia" w:ascii="宋体" w:hAnsi="宋体" w:cs="宋体"/>
          <w:color w:val="000000"/>
          <w:kern w:val="0"/>
          <w:sz w:val="28"/>
          <w:szCs w:val="28"/>
        </w:rPr>
        <w:t>财政拨款支出主要用于保障工作正常运转、完成日常工作任务以及县委、县政府交办的相关工作。 </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基本支出，是用于保障政府正常运转的日常支出，包括基本工资、津贴补贴等人员经费以及办公费、印刷费、水电费、办公设备购置等日常公用经费。</w:t>
      </w:r>
    </w:p>
    <w:p>
      <w:pPr>
        <w:ind w:firstLine="560" w:firstLineChars="200"/>
        <w:rPr>
          <w:rFonts w:hint="eastAsia" w:ascii="宋体" w:hAnsi="宋体"/>
          <w:sz w:val="28"/>
          <w:szCs w:val="28"/>
        </w:rPr>
      </w:pPr>
      <w:r>
        <w:rPr>
          <w:rFonts w:hint="eastAsia" w:ascii="宋体" w:hAnsi="宋体"/>
          <w:sz w:val="28"/>
          <w:szCs w:val="28"/>
        </w:rPr>
        <w:t>项目支出，是用于保障机关为完成县委、县政府交办的工作任务和事业发展目标，用于该专项业务工作的经费支出。</w:t>
      </w:r>
    </w:p>
    <w:p>
      <w:pPr>
        <w:ind w:firstLine="560" w:firstLineChars="200"/>
        <w:rPr>
          <w:rFonts w:hint="eastAsia" w:ascii="宋体" w:hAnsi="宋体"/>
          <w:sz w:val="28"/>
          <w:szCs w:val="28"/>
        </w:rPr>
      </w:pPr>
      <w:r>
        <w:rPr>
          <w:rFonts w:hint="eastAsia" w:ascii="宋体" w:hAnsi="宋体"/>
          <w:sz w:val="28"/>
          <w:szCs w:val="28"/>
        </w:rPr>
        <w:t>（一）一般公共服务支出</w:t>
      </w:r>
      <w:r>
        <w:rPr>
          <w:rFonts w:hint="eastAsia" w:ascii="宋体" w:hAnsi="宋体"/>
          <w:sz w:val="28"/>
          <w:szCs w:val="28"/>
          <w:lang w:val="en-US" w:eastAsia="zh-CN"/>
        </w:rPr>
        <w:t>501.13</w:t>
      </w:r>
      <w:r>
        <w:rPr>
          <w:rFonts w:hint="eastAsia" w:ascii="宋体" w:hAnsi="宋体"/>
          <w:sz w:val="28"/>
          <w:szCs w:val="28"/>
        </w:rPr>
        <w:t>万元</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（二）节能环保支出791.56万元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2.11</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相比</w:t>
      </w:r>
      <w:r>
        <w:rPr>
          <w:rFonts w:hint="eastAsia" w:ascii="宋体" w:hAnsi="宋体"/>
          <w:sz w:val="28"/>
          <w:szCs w:val="28"/>
        </w:rPr>
        <w:t>，</w:t>
      </w:r>
      <w:r>
        <w:rPr>
          <w:rFonts w:hint="eastAsia" w:ascii="宋体" w:hAnsi="宋体"/>
          <w:sz w:val="28"/>
          <w:szCs w:val="28"/>
          <w:lang w:eastAsia="zh-CN"/>
        </w:rPr>
        <w:t>减少</w:t>
      </w:r>
      <w:r>
        <w:rPr>
          <w:rFonts w:hint="eastAsia" w:ascii="宋体" w:hAnsi="宋体" w:cs="仿宋_GB2312"/>
          <w:sz w:val="28"/>
          <w:szCs w:val="28"/>
          <w:lang w:val="en-US" w:eastAsia="zh-CN"/>
        </w:rPr>
        <w:t>0.87</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1.8</w:t>
      </w:r>
      <w:r>
        <w:rPr>
          <w:rFonts w:hint="eastAsia" w:ascii="宋体" w:hAnsi="宋体"/>
          <w:sz w:val="28"/>
          <w:szCs w:val="28"/>
        </w:rPr>
        <w:t>万元。公务用车保有量</w:t>
      </w:r>
      <w:r>
        <w:rPr>
          <w:rFonts w:hint="eastAsia" w:ascii="宋体" w:hAnsi="宋体"/>
          <w:sz w:val="28"/>
          <w:szCs w:val="28"/>
          <w:lang w:val="en-US" w:eastAsia="zh-CN"/>
        </w:rPr>
        <w:t>1</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w:t>
      </w:r>
      <w:r>
        <w:rPr>
          <w:rFonts w:hint="eastAsia" w:ascii="宋体" w:hAnsi="宋体"/>
          <w:sz w:val="28"/>
          <w:szCs w:val="28"/>
          <w:lang w:eastAsia="zh-CN"/>
        </w:rPr>
        <w:t>。</w:t>
      </w:r>
      <w:r>
        <w:rPr>
          <w:rFonts w:hint="eastAsia" w:ascii="宋体" w:hAnsi="宋体"/>
          <w:sz w:val="28"/>
          <w:szCs w:val="28"/>
        </w:rPr>
        <w:t>公务用车运行维护费</w:t>
      </w:r>
      <w:r>
        <w:rPr>
          <w:rFonts w:hint="eastAsia" w:ascii="宋体" w:hAnsi="宋体" w:cs="仿宋_GB2312"/>
          <w:sz w:val="28"/>
          <w:szCs w:val="28"/>
          <w:lang w:val="en-US" w:eastAsia="zh-CN"/>
        </w:rPr>
        <w:t>1.8</w:t>
      </w:r>
      <w:r>
        <w:rPr>
          <w:rFonts w:hint="eastAsia" w:ascii="宋体" w:hAnsi="宋体"/>
          <w:sz w:val="28"/>
          <w:szCs w:val="28"/>
        </w:rPr>
        <w:t>万元，主要用于公务用车燃油费</w:t>
      </w:r>
      <w:r>
        <w:rPr>
          <w:rFonts w:hint="eastAsia" w:ascii="宋体" w:hAnsi="宋体"/>
          <w:sz w:val="28"/>
          <w:szCs w:val="28"/>
          <w:lang w:eastAsia="zh-CN"/>
        </w:rPr>
        <w:t>和保险维修费用</w:t>
      </w:r>
      <w:r>
        <w:rPr>
          <w:rFonts w:hint="eastAsia" w:ascii="宋体" w:hAnsi="宋体"/>
          <w:sz w:val="28"/>
          <w:szCs w:val="28"/>
        </w:rPr>
        <w:t>的支出</w:t>
      </w:r>
      <w:r>
        <w:rPr>
          <w:rFonts w:hint="eastAsia" w:ascii="宋体" w:hAnsi="宋体"/>
          <w:sz w:val="28"/>
          <w:szCs w:val="28"/>
          <w:lang w:eastAsia="zh-CN"/>
        </w:rPr>
        <w:t>。</w:t>
      </w:r>
    </w:p>
    <w:p>
      <w:pPr>
        <w:ind w:firstLine="560" w:firstLineChars="200"/>
        <w:rPr>
          <w:rFonts w:hint="eastAsia" w:ascii="宋体" w:hAnsi="宋体"/>
          <w:sz w:val="28"/>
          <w:szCs w:val="28"/>
        </w:rPr>
      </w:pPr>
      <w:bookmarkStart w:id="0" w:name="_GoBack"/>
      <w:r>
        <w:rPr>
          <w:rFonts w:hint="eastAsia" w:ascii="宋体" w:hAnsi="宋体"/>
          <w:sz w:val="28"/>
          <w:szCs w:val="28"/>
        </w:rPr>
        <w:t>3.公务接待费</w:t>
      </w:r>
      <w:r>
        <w:rPr>
          <w:rFonts w:hint="eastAsia" w:ascii="宋体" w:hAnsi="宋体" w:cs="仿宋_GB2312"/>
          <w:sz w:val="28"/>
          <w:szCs w:val="28"/>
          <w:lang w:val="en-US" w:eastAsia="zh-CN"/>
        </w:rPr>
        <w:t>0.31</w:t>
      </w:r>
      <w:r>
        <w:rPr>
          <w:rFonts w:hint="eastAsia" w:ascii="宋体" w:hAnsi="宋体"/>
          <w:sz w:val="28"/>
          <w:szCs w:val="28"/>
        </w:rPr>
        <w:t>万元。接待</w:t>
      </w:r>
      <w:r>
        <w:rPr>
          <w:rFonts w:hint="eastAsia" w:ascii="宋体" w:hAnsi="宋体"/>
          <w:sz w:val="28"/>
          <w:szCs w:val="28"/>
          <w:lang w:val="en-US" w:eastAsia="zh-CN"/>
        </w:rPr>
        <w:t>20</w:t>
      </w:r>
      <w:r>
        <w:rPr>
          <w:rFonts w:hint="eastAsia" w:ascii="宋体" w:hAnsi="宋体"/>
          <w:sz w:val="28"/>
          <w:szCs w:val="28"/>
        </w:rPr>
        <w:t>批次，</w:t>
      </w:r>
      <w:r>
        <w:rPr>
          <w:rFonts w:hint="eastAsia" w:ascii="宋体" w:hAnsi="宋体"/>
          <w:sz w:val="28"/>
          <w:szCs w:val="28"/>
          <w:lang w:val="en-US" w:eastAsia="zh-CN"/>
        </w:rPr>
        <w:t>140</w:t>
      </w:r>
      <w:r>
        <w:rPr>
          <w:rFonts w:hint="eastAsia" w:ascii="宋体" w:hAnsi="宋体"/>
          <w:sz w:val="28"/>
          <w:szCs w:val="28"/>
        </w:rPr>
        <w:t>人次</w:t>
      </w:r>
    </w:p>
    <w:bookmarkEnd w:id="0"/>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lang w:eastAsia="zh-CN"/>
        </w:rPr>
      </w:pPr>
      <w:r>
        <w:rPr>
          <w:rFonts w:hint="eastAsia" w:ascii="宋体" w:hAnsi="宋体"/>
          <w:sz w:val="28"/>
          <w:szCs w:val="28"/>
          <w:lang w:eastAsia="zh-CN"/>
        </w:rPr>
        <w:t>无机关运行经费</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辆，其中，领导干部用车0辆、一般公务用车1辆、一般执法执勤用车0辆、特种专业技术用车0辆、其他用车0辆；单位价值50万元以上通用设备0台（套），单价100万元以上专用设备0台（套）。</w:t>
      </w:r>
    </w:p>
    <w:p>
      <w:pPr>
        <w:spacing w:line="600" w:lineRule="exact"/>
        <w:ind w:firstLine="560" w:firstLineChars="200"/>
        <w:rPr>
          <w:rFonts w:hint="eastAsia" w:ascii="宋体" w:hAnsi="宋体" w:cs="仿宋_GB2312"/>
          <w:sz w:val="28"/>
          <w:szCs w:val="28"/>
        </w:rPr>
      </w:pPr>
      <w:r>
        <w:rPr>
          <w:rFonts w:hint="eastAsia" w:ascii="宋体" w:hAnsi="宋体" w:cs="黑体"/>
          <w:sz w:val="28"/>
          <w:szCs w:val="28"/>
          <w:lang w:val="en-US" w:eastAsia="zh-CN"/>
        </w:rPr>
        <w:t>本部门2020年度政府采购支出总额3.45万元，其中：政府采购货物支出3.45万元、政府采购工程支出0万元、政府采购服务支出0万元。授予中小企业合同金额0万元，占政府采购支出总额的0%。</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、政府性基金支出情况</w:t>
      </w:r>
    </w:p>
    <w:p>
      <w:pPr>
        <w:spacing w:line="600" w:lineRule="exact"/>
        <w:rPr>
          <w:rFonts w:hint="default" w:ascii="宋体" w:hAnsi="宋体" w:eastAsia="仿宋_GB2312" w:cs="仿宋_GB2312"/>
          <w:sz w:val="28"/>
          <w:szCs w:val="28"/>
          <w:lang w:val="en-US" w:eastAsia="zh-CN"/>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lang w:val="en-US" w:eastAsia="zh-CN"/>
        </w:rPr>
        <w:t>2020年</w:t>
      </w:r>
      <w:r>
        <w:rPr>
          <w:rFonts w:hint="eastAsia" w:ascii="宋体" w:hAnsi="宋体" w:cs="宋体"/>
          <w:color w:val="000000"/>
          <w:kern w:val="0"/>
          <w:sz w:val="28"/>
          <w:szCs w:val="28"/>
          <w:lang w:eastAsia="zh-CN"/>
        </w:rPr>
        <w:t>崇信县工业集中区管理委员会</w:t>
      </w:r>
      <w:r>
        <w:rPr>
          <w:rFonts w:hint="eastAsia" w:ascii="宋体" w:hAnsi="宋体" w:cs="宋体"/>
          <w:sz w:val="28"/>
          <w:szCs w:val="28"/>
          <w:lang w:val="en-US" w:eastAsia="zh-CN"/>
        </w:rPr>
        <w:t>共计收到政府性基金0万元。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560" w:firstLineChars="20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leftChars="200" w:firstLine="1092" w:firstLineChars="390"/>
        <w:rPr>
          <w:rFonts w:hint="eastAsia" w:ascii="宋体" w:hAnsi="宋体"/>
          <w:sz w:val="28"/>
          <w:szCs w:val="28"/>
        </w:rPr>
      </w:pP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554E0"/>
    <w:multiLevelType w:val="singleLevel"/>
    <w:tmpl w:val="EF9554E0"/>
    <w:lvl w:ilvl="0" w:tentative="0">
      <w:start w:val="2"/>
      <w:numFmt w:val="chineseCounting"/>
      <w:suff w:val="nothing"/>
      <w:lvlText w:val="（%1）"/>
      <w:lvlJc w:val="left"/>
      <w:rPr>
        <w:rFonts w:hint="eastAsia"/>
      </w:rPr>
    </w:lvl>
  </w:abstractNum>
  <w:abstractNum w:abstractNumId="1">
    <w:nsid w:val="FD6B7585"/>
    <w:multiLevelType w:val="singleLevel"/>
    <w:tmpl w:val="FD6B7585"/>
    <w:lvl w:ilvl="0" w:tentative="0">
      <w:start w:val="1"/>
      <w:numFmt w:val="chineseCounting"/>
      <w:suff w:val="nothing"/>
      <w:lvlText w:val="%1、"/>
      <w:lvlJc w:val="left"/>
      <w:rPr>
        <w:rFonts w:hint="eastAsia"/>
      </w:rPr>
    </w:lvl>
  </w:abstractNum>
  <w:abstractNum w:abstractNumId="2">
    <w:nsid w:val="4E2DEAE2"/>
    <w:multiLevelType w:val="singleLevel"/>
    <w:tmpl w:val="4E2DEAE2"/>
    <w:lvl w:ilvl="0" w:tentative="0">
      <w:start w:val="1"/>
      <w:numFmt w:val="chineseCounting"/>
      <w:suff w:val="nothing"/>
      <w:lvlText w:val="（%1）"/>
      <w:lvlJc w:val="left"/>
      <w:pPr>
        <w:ind w:left="-10"/>
      </w:pPr>
      <w:rPr>
        <w:rFonts w:hint="eastAsia"/>
      </w:rPr>
    </w:lvl>
  </w:abstractNum>
  <w:abstractNum w:abstractNumId="3">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8247C9"/>
    <w:rsid w:val="02CE040E"/>
    <w:rsid w:val="06A52B1C"/>
    <w:rsid w:val="0C982326"/>
    <w:rsid w:val="11E848D4"/>
    <w:rsid w:val="13356199"/>
    <w:rsid w:val="13A9438D"/>
    <w:rsid w:val="14775980"/>
    <w:rsid w:val="266F5700"/>
    <w:rsid w:val="26F03E69"/>
    <w:rsid w:val="26FB5679"/>
    <w:rsid w:val="28D9231D"/>
    <w:rsid w:val="2BA73487"/>
    <w:rsid w:val="2BC123ED"/>
    <w:rsid w:val="2D8F283B"/>
    <w:rsid w:val="33306270"/>
    <w:rsid w:val="34BA6584"/>
    <w:rsid w:val="356B50B8"/>
    <w:rsid w:val="3D5677BE"/>
    <w:rsid w:val="43B11B3D"/>
    <w:rsid w:val="4E7E7EEC"/>
    <w:rsid w:val="501E6D4B"/>
    <w:rsid w:val="502C21B2"/>
    <w:rsid w:val="505E784C"/>
    <w:rsid w:val="572124A8"/>
    <w:rsid w:val="5C886C2A"/>
    <w:rsid w:val="5D922810"/>
    <w:rsid w:val="617710D2"/>
    <w:rsid w:val="66ED327E"/>
    <w:rsid w:val="675851B8"/>
    <w:rsid w:val="7129674E"/>
    <w:rsid w:val="745716C4"/>
    <w:rsid w:val="7BA97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2021-08-06T08:58:41Z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8AD177484718418AB501AD24C38A993B</vt:lpwstr>
  </property>
</Properties>
</file>