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崇信县工业信息化和商务局</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560" w:firstLineChars="200"/>
        <w:rPr>
          <w:rFonts w:hint="eastAsia" w:ascii="宋体" w:hAnsi="宋体" w:cs="Times New Roman"/>
          <w:sz w:val="28"/>
          <w:szCs w:val="28"/>
        </w:rPr>
      </w:pPr>
      <w:r>
        <w:rPr>
          <w:rFonts w:hint="eastAsia" w:ascii="宋体" w:hAnsi="宋体" w:cs="Times New Roman"/>
          <w:sz w:val="28"/>
          <w:szCs w:val="28"/>
        </w:rPr>
        <w:t>贯彻执行工业、信息化和商务有关法律、法规、规章和方针、政策，提出优化产业布局、结构调整的政策建议，组织实施“工业强县”战略，推进新型工业化建设进程和全县流通产业结构调整。拟订全县工业、信息化和商务领域发展战略、规划、年度计划并组织实施，协调解决新型工业化进程中的重大问题，积极推进工业化和信息化融合。拟订全县市场体系发展规划，促进城乡市场发展。指导大宗产品批发市场规划和城市商业网点规划，推进农村市场体系建设。组织实施农村现代流通网络工程。监测、分析全县市场运行、商品供求状况及工业和信息产业、生产性服务业经济运行态势，调查商品价格信息，统计并发布相关指导信息，进行预测预警和信息引导。综合协调煤、电、油、气、运等重要生产要素的保障。负责重要消费品市场调控和重要生产资料流通管理，建立健全生活必需品市场供应应急管理机制。负责中小企业发展的宏观指导，指导和推动全县中小企业社会化服务体系建设和生产性服务业发展。负责全县煤炭市场监督管理及全县烟草、盐业、商贸服务业（含餐饮、住宿、洗浴、美容美发、洗染、人像摄影及家政服务等行业）的行业管理工作。对酒类商品流通、成品油市场等行业，拍卖、典当、租赁、直销、汽车流通和旧货流通、再生资源回收等特殊流通行业进行监督管理。负责全县招商引资优惠政策的制定和落实。负责重要工业品、原材料和重要农产品进出口管理工作，负责对外技术贸易、进出口管制和服务外包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pStyle w:val="2"/>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本单位属于财政全额拨款的行政（事业）单位。执行新政府会计制度。内设机构：办公室、业务股（政务服务股）。</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560" w:firstLineChars="200"/>
        <w:textAlignment w:val="auto"/>
        <w:outlineLvl w:val="9"/>
        <w:rPr>
          <w:rFonts w:hint="eastAsia" w:ascii="宋体" w:hAnsi="宋体" w:eastAsia="黑体" w:cs="仿宋_GB2312"/>
          <w:sz w:val="28"/>
          <w:szCs w:val="28"/>
          <w:lang w:val="en-US" w:eastAsia="zh-CN"/>
        </w:rPr>
      </w:pPr>
      <w:r>
        <w:rPr>
          <w:rFonts w:hint="eastAsia" w:ascii="宋体" w:hAnsi="宋体" w:eastAsia="宋体" w:cs="Times New Roman"/>
          <w:kern w:val="2"/>
          <w:sz w:val="28"/>
          <w:szCs w:val="28"/>
          <w:lang w:val="en-US" w:eastAsia="zh-CN" w:bidi="ar-SA"/>
        </w:rPr>
        <w:t>20</w:t>
      </w:r>
      <w:r>
        <w:rPr>
          <w:rFonts w:hint="eastAsia" w:ascii="宋体" w:hAnsi="宋体" w:cs="Times New Roman"/>
          <w:kern w:val="2"/>
          <w:sz w:val="28"/>
          <w:szCs w:val="28"/>
          <w:lang w:val="en-US" w:eastAsia="zh-CN" w:bidi="ar-SA"/>
        </w:rPr>
        <w:t>20</w:t>
      </w:r>
      <w:r>
        <w:rPr>
          <w:rFonts w:hint="eastAsia" w:ascii="宋体" w:hAnsi="宋体" w:eastAsia="宋体" w:cs="Times New Roman"/>
          <w:kern w:val="2"/>
          <w:sz w:val="28"/>
          <w:szCs w:val="28"/>
          <w:lang w:val="en-US" w:eastAsia="zh-CN" w:bidi="ar-SA"/>
        </w:rPr>
        <w:t>年，本年本单位总收入为988.41万元，其中：财政拨款收入988.41万元，占总收入的100%；总支出1852.86万元，其中：基本支出1852.86万元，占总支出100%。</w:t>
      </w:r>
      <w:r>
        <w:rPr>
          <w:rFonts w:hint="eastAsia" w:ascii="黑体" w:hAnsi="黑体" w:eastAsia="黑体" w:cs="黑体"/>
          <w:sz w:val="32"/>
          <w:szCs w:val="32"/>
          <w:lang w:val="en-US" w:eastAsia="zh-CN"/>
        </w:rPr>
        <w:t xml:space="preserve"> </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560" w:firstLineChars="200"/>
        <w:textAlignment w:val="auto"/>
        <w:outlineLvl w:val="9"/>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20</w:t>
      </w:r>
      <w:r>
        <w:rPr>
          <w:rFonts w:hint="eastAsia" w:ascii="宋体" w:hAnsi="宋体" w:cs="Times New Roman"/>
          <w:kern w:val="2"/>
          <w:sz w:val="28"/>
          <w:szCs w:val="28"/>
          <w:lang w:val="en-US" w:eastAsia="zh-CN" w:bidi="ar-SA"/>
        </w:rPr>
        <w:t>20</w:t>
      </w:r>
      <w:r>
        <w:rPr>
          <w:rFonts w:hint="eastAsia" w:ascii="宋体" w:hAnsi="宋体" w:eastAsia="宋体" w:cs="Times New Roman"/>
          <w:kern w:val="2"/>
          <w:sz w:val="28"/>
          <w:szCs w:val="28"/>
          <w:lang w:val="en-US" w:eastAsia="zh-CN" w:bidi="ar-SA"/>
        </w:rPr>
        <w:t>年，工信和商务局财政拨款支出主要用于保障单位工作正常运转、完成日常工作任务以及县委、县政府交办的相关工作。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560" w:firstLineChars="200"/>
        <w:textAlignment w:val="auto"/>
        <w:outlineLvl w:val="9"/>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基本支出，是用于保障单位机关正常运转的日常支出，包括基本工资、津贴补贴等人员经费以及办公费、印刷费、水电费、办公设备购置等日常公用经费。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560" w:firstLineChars="200"/>
        <w:textAlignment w:val="auto"/>
        <w:outlineLvl w:val="9"/>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按支出功能分类主要用于以下方面:</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560" w:firstLineChars="200"/>
        <w:textAlignment w:val="auto"/>
        <w:outlineLvl w:val="9"/>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（一）一般公共服务支出28.07万元，社会保障和就业支出106.3万元。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560" w:firstLineChars="200"/>
        <w:textAlignment w:val="auto"/>
        <w:outlineLvl w:val="9"/>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（二）</w:t>
      </w:r>
      <w:r>
        <w:rPr>
          <w:rFonts w:hint="eastAsia" w:ascii="宋体" w:hAnsi="宋体" w:cs="Times New Roman"/>
          <w:kern w:val="2"/>
          <w:sz w:val="28"/>
          <w:szCs w:val="28"/>
          <w:lang w:val="en-US" w:eastAsia="zh-CN" w:bidi="ar-SA"/>
        </w:rPr>
        <w:t>卫生健康支出55万元，节能环保支出35.04万元，城乡社区支出4.69万元，</w:t>
      </w:r>
      <w:r>
        <w:rPr>
          <w:rFonts w:hint="eastAsia" w:ascii="宋体" w:hAnsi="宋体" w:eastAsia="宋体" w:cs="Times New Roman"/>
          <w:kern w:val="2"/>
          <w:sz w:val="28"/>
          <w:szCs w:val="28"/>
          <w:lang w:val="en-US" w:eastAsia="zh-CN" w:bidi="ar-SA"/>
        </w:rPr>
        <w:t>农林水支出</w:t>
      </w:r>
      <w:r>
        <w:rPr>
          <w:rFonts w:hint="eastAsia" w:ascii="宋体" w:hAnsi="宋体" w:cs="Times New Roman"/>
          <w:kern w:val="2"/>
          <w:sz w:val="28"/>
          <w:szCs w:val="28"/>
          <w:lang w:val="en-US" w:eastAsia="zh-CN" w:bidi="ar-SA"/>
        </w:rPr>
        <w:t>2</w:t>
      </w:r>
      <w:r>
        <w:rPr>
          <w:rFonts w:hint="eastAsia" w:ascii="宋体" w:hAnsi="宋体" w:eastAsia="宋体" w:cs="Times New Roman"/>
          <w:kern w:val="2"/>
          <w:sz w:val="28"/>
          <w:szCs w:val="28"/>
          <w:lang w:val="en-US" w:eastAsia="zh-CN" w:bidi="ar-SA"/>
        </w:rPr>
        <w:t>万元。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560" w:firstLineChars="200"/>
        <w:textAlignment w:val="auto"/>
        <w:outlineLvl w:val="9"/>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（三）资源勘探信息等支出580.31万元，商品服务业等支出976.44万元。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w:t>
      </w:r>
      <w:r>
        <w:rPr>
          <w:rFonts w:hint="eastAsia" w:ascii="宋体" w:hAnsi="宋体"/>
          <w:sz w:val="28"/>
          <w:szCs w:val="28"/>
          <w:lang w:eastAsia="zh-CN"/>
        </w:rPr>
        <w:t>。</w:t>
      </w:r>
      <w:r>
        <w:rPr>
          <w:rFonts w:hint="eastAsia" w:ascii="宋体" w:hAnsi="宋体"/>
          <w:sz w:val="28"/>
          <w:szCs w:val="28"/>
        </w:rPr>
        <w:t>具体为</w:t>
      </w:r>
      <w:r>
        <w:rPr>
          <w:rFonts w:hint="eastAsia" w:ascii="宋体" w:hAnsi="宋体"/>
          <w:sz w:val="28"/>
          <w:szCs w:val="28"/>
          <w:lang w:eastAsia="zh-CN"/>
        </w:rPr>
        <w:t>无公务接待、公务用车等情况</w:t>
      </w:r>
      <w:r>
        <w:rPr>
          <w:rFonts w:hint="eastAsia" w:ascii="宋体" w:hAnsi="宋体" w:cs="Times New Roman"/>
          <w:sz w:val="28"/>
          <w:szCs w:val="28"/>
          <w:lang w:eastAsia="zh-CN"/>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339.41</w:t>
      </w:r>
      <w:r>
        <w:rPr>
          <w:rFonts w:hint="eastAsia" w:ascii="宋体" w:hAnsi="宋体"/>
          <w:sz w:val="28"/>
          <w:szCs w:val="28"/>
        </w:rPr>
        <w:t>万元，与20</w:t>
      </w:r>
      <w:r>
        <w:rPr>
          <w:rFonts w:hint="eastAsia" w:ascii="宋体" w:hAnsi="宋体"/>
          <w:sz w:val="28"/>
          <w:szCs w:val="28"/>
          <w:lang w:val="en-US" w:eastAsia="zh-CN"/>
        </w:rPr>
        <w:t>19</w:t>
      </w:r>
      <w:r>
        <w:rPr>
          <w:rFonts w:hint="eastAsia" w:ascii="宋体" w:hAnsi="宋体"/>
          <w:sz w:val="28"/>
          <w:szCs w:val="28"/>
        </w:rPr>
        <w:t>年相比较，</w:t>
      </w:r>
      <w:r>
        <w:rPr>
          <w:rFonts w:hint="eastAsia" w:ascii="宋体" w:hAnsi="宋体"/>
          <w:sz w:val="28"/>
          <w:szCs w:val="28"/>
          <w:lang w:eastAsia="zh-CN"/>
        </w:rPr>
        <w:t>增加</w:t>
      </w:r>
      <w:r>
        <w:rPr>
          <w:rFonts w:hint="eastAsia" w:ascii="宋体" w:hAnsi="宋体"/>
          <w:sz w:val="28"/>
          <w:szCs w:val="28"/>
        </w:rPr>
        <w:t>了</w:t>
      </w:r>
      <w:r>
        <w:rPr>
          <w:rFonts w:hint="eastAsia" w:ascii="宋体" w:hAnsi="宋体" w:cs="仿宋_GB2312"/>
          <w:sz w:val="28"/>
          <w:szCs w:val="28"/>
          <w:lang w:val="en-US" w:eastAsia="zh-CN"/>
        </w:rPr>
        <w:t>235.37</w:t>
      </w:r>
      <w:r>
        <w:rPr>
          <w:rFonts w:hint="eastAsia" w:ascii="宋体" w:hAnsi="宋体"/>
          <w:sz w:val="28"/>
          <w:szCs w:val="28"/>
        </w:rPr>
        <w:t>万元，</w:t>
      </w:r>
      <w:r>
        <w:rPr>
          <w:rFonts w:hint="eastAsia" w:ascii="宋体" w:hAnsi="宋体"/>
          <w:sz w:val="28"/>
          <w:szCs w:val="28"/>
          <w:lang w:eastAsia="zh-CN"/>
        </w:rPr>
        <w:t>增加</w:t>
      </w:r>
      <w:r>
        <w:rPr>
          <w:rFonts w:hint="eastAsia" w:ascii="宋体" w:hAnsi="宋体"/>
          <w:sz w:val="28"/>
          <w:szCs w:val="28"/>
        </w:rPr>
        <w:t>的主要原因一是机关运行经费统计口径有所变化，二是</w:t>
      </w:r>
      <w:r>
        <w:rPr>
          <w:rFonts w:hint="eastAsia" w:ascii="宋体" w:hAnsi="宋体"/>
          <w:sz w:val="28"/>
          <w:szCs w:val="28"/>
          <w:lang w:eastAsia="zh-CN"/>
        </w:rPr>
        <w:t>较上年度单位业务增加，人员增多</w:t>
      </w:r>
      <w:r>
        <w:rPr>
          <w:rFonts w:hint="eastAsia" w:ascii="宋体" w:hAnsi="宋体"/>
          <w:sz w:val="28"/>
          <w:szCs w:val="28"/>
        </w:rPr>
        <w:t>。</w:t>
      </w:r>
      <w:bookmarkStart w:id="0" w:name="_GoBack"/>
      <w:bookmarkEnd w:id="0"/>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本部门2020年度政府采购支出总额2255.22万元。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sz w:val="28"/>
          <w:szCs w:val="28"/>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cs="仿宋_GB2312"/>
          <w:sz w:val="28"/>
          <w:szCs w:val="28"/>
          <w:lang w:val="en-US" w:eastAsia="zh-CN"/>
        </w:rPr>
        <w:t>74.81</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100</w:t>
      </w:r>
      <w:r>
        <w:rPr>
          <w:rFonts w:hint="eastAsia" w:ascii="宋体" w:hAnsi="宋体"/>
          <w:sz w:val="28"/>
          <w:szCs w:val="28"/>
        </w:rPr>
        <w:t>%。</w:t>
      </w:r>
    </w:p>
    <w:p>
      <w:pPr>
        <w:pStyle w:val="2"/>
        <w:ind w:firstLine="560" w:firstLineChars="200"/>
        <w:rPr>
          <w:rFonts w:hint="eastAsia" w:ascii="宋体" w:hAnsi="宋体" w:eastAsia="宋体" w:cs="Times New Roman"/>
          <w:kern w:val="2"/>
          <w:sz w:val="28"/>
          <w:szCs w:val="28"/>
          <w:lang w:val="en-US" w:eastAsia="zh-CN" w:bidi="ar-SA"/>
        </w:rPr>
      </w:pPr>
      <w:r>
        <w:rPr>
          <w:rFonts w:hint="eastAsia" w:ascii="宋体" w:hAnsi="宋体" w:cs="Times New Roman"/>
          <w:kern w:val="2"/>
          <w:sz w:val="28"/>
          <w:szCs w:val="28"/>
          <w:lang w:val="en-US" w:eastAsia="zh-CN" w:bidi="ar-SA"/>
        </w:rPr>
        <w:t>下一步我们要</w:t>
      </w:r>
      <w:r>
        <w:rPr>
          <w:rFonts w:hint="eastAsia" w:ascii="宋体" w:hAnsi="宋体" w:eastAsia="宋体" w:cs="Times New Roman"/>
          <w:kern w:val="2"/>
          <w:sz w:val="28"/>
          <w:szCs w:val="28"/>
          <w:lang w:val="en-US" w:eastAsia="zh-CN" w:bidi="ar-SA"/>
        </w:rPr>
        <w:t>完善预算执行方式。在预算下达阶段就明确预算指标、支出标准和支出方向的业务事项，比如支付</w:t>
      </w:r>
      <w:r>
        <w:rPr>
          <w:rFonts w:hint="eastAsia" w:ascii="宋体" w:hAnsi="宋体" w:cs="Times New Roman"/>
          <w:kern w:val="2"/>
          <w:sz w:val="28"/>
          <w:szCs w:val="28"/>
          <w:lang w:val="en-US" w:eastAsia="zh-CN" w:bidi="ar-SA"/>
        </w:rPr>
        <w:t>办公</w:t>
      </w:r>
      <w:r>
        <w:rPr>
          <w:rFonts w:hint="eastAsia" w:ascii="宋体" w:hAnsi="宋体" w:eastAsia="宋体" w:cs="Times New Roman"/>
          <w:kern w:val="2"/>
          <w:sz w:val="28"/>
          <w:szCs w:val="28"/>
          <w:lang w:val="en-US" w:eastAsia="zh-CN" w:bidi="ar-SA"/>
        </w:rPr>
        <w:t>费、水电费等。相关业务部门应当严格按照预算指标、支出标准和支出方向办理，</w:t>
      </w:r>
      <w:r>
        <w:rPr>
          <w:rFonts w:hint="eastAsia" w:ascii="宋体" w:hAnsi="宋体" w:cs="Times New Roman"/>
          <w:kern w:val="2"/>
          <w:sz w:val="28"/>
          <w:szCs w:val="28"/>
          <w:lang w:val="en-US" w:eastAsia="zh-CN" w:bidi="ar-SA"/>
        </w:rPr>
        <w:t>财务</w:t>
      </w:r>
      <w:r>
        <w:rPr>
          <w:rFonts w:hint="eastAsia" w:ascii="宋体" w:hAnsi="宋体" w:eastAsia="宋体" w:cs="Times New Roman"/>
          <w:kern w:val="2"/>
          <w:sz w:val="28"/>
          <w:szCs w:val="28"/>
          <w:lang w:val="en-US" w:eastAsia="zh-CN" w:bidi="ar-SA"/>
        </w:rPr>
        <w:t>部门在支付款项之前应当加强支付控制。</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cs="仿宋_GB2312"/>
          <w:sz w:val="28"/>
          <w:szCs w:val="28"/>
        </w:rPr>
        <w:t>（</w:t>
      </w:r>
      <w:r>
        <w:rPr>
          <w:rFonts w:hint="eastAsia" w:ascii="宋体" w:hAnsi="宋体"/>
          <w:sz w:val="28"/>
          <w:szCs w:val="28"/>
        </w:rPr>
        <w:t>本年度单位无政府性基金支出。）若有详细说明</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9.政府采购表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AF7F"/>
    <w:multiLevelType w:val="singleLevel"/>
    <w:tmpl w:val="59B7AF7F"/>
    <w:lvl w:ilvl="0" w:tentative="0">
      <w:start w:val="2"/>
      <w:numFmt w:val="chineseCounting"/>
      <w:suff w:val="nothing"/>
      <w:lvlText w:val="%1、"/>
      <w:lvlJc w:val="left"/>
    </w:lvl>
  </w:abstractNum>
  <w:abstractNum w:abstractNumId="1">
    <w:nsid w:val="73C4B599"/>
    <w:multiLevelType w:val="singleLevel"/>
    <w:tmpl w:val="73C4B59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D5A6FF5"/>
    <w:rsid w:val="18396A96"/>
    <w:rsid w:val="19CD5137"/>
    <w:rsid w:val="28D9231D"/>
    <w:rsid w:val="36D470FE"/>
    <w:rsid w:val="3878654C"/>
    <w:rsid w:val="38AB1B84"/>
    <w:rsid w:val="5069648A"/>
    <w:rsid w:val="53EE33BB"/>
    <w:rsid w:val="5A1C7ED6"/>
    <w:rsid w:val="65B85F74"/>
    <w:rsid w:val="66E548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styleId="7">
    <w:name w:val="Emphasis"/>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2021-08-06T03:26:24Z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E604D42DA4C347A68BF9C22CA0BBE8E2</vt:lpwstr>
  </property>
</Properties>
</file>